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DFD" w:rsidRPr="00684DFD" w:rsidRDefault="00684DFD" w:rsidP="00684DFD">
      <w:pPr>
        <w:jc w:val="center"/>
        <w:rPr>
          <w:b/>
          <w:bCs/>
          <w:sz w:val="32"/>
          <w:szCs w:val="32"/>
        </w:rPr>
      </w:pPr>
      <w:r w:rsidRPr="00684DFD">
        <w:rPr>
          <w:b/>
          <w:bCs/>
          <w:sz w:val="32"/>
          <w:szCs w:val="32"/>
        </w:rPr>
        <w:t xml:space="preserve">Pravilnik o utvrđivanju sukladnosti </w:t>
      </w:r>
    </w:p>
    <w:p w:rsidR="00684DFD" w:rsidRPr="00684DFD" w:rsidRDefault="00684DFD" w:rsidP="00684DFD">
      <w:pPr>
        <w:jc w:val="center"/>
        <w:rPr>
          <w:b/>
          <w:bCs/>
          <w:sz w:val="32"/>
          <w:szCs w:val="32"/>
        </w:rPr>
      </w:pPr>
      <w:r w:rsidRPr="00684DFD">
        <w:rPr>
          <w:b/>
          <w:bCs/>
          <w:sz w:val="32"/>
          <w:szCs w:val="32"/>
        </w:rPr>
        <w:t>motornih vozila i njihovih prikolica</w:t>
      </w:r>
    </w:p>
    <w:p w:rsidR="00F5357A" w:rsidRPr="00684DFD" w:rsidRDefault="00684DFD" w:rsidP="00684DFD">
      <w:pPr>
        <w:pStyle w:val="Bezproreda"/>
        <w:jc w:val="center"/>
        <w:rPr>
          <w:sz w:val="24"/>
          <w:szCs w:val="24"/>
        </w:rPr>
      </w:pPr>
      <w:r w:rsidRPr="00684DFD">
        <w:rPr>
          <w:sz w:val="24"/>
          <w:szCs w:val="24"/>
        </w:rPr>
        <w:t>Narodne novine 80/2013, 97/2014, 60/2016, 2/2019</w:t>
      </w:r>
    </w:p>
    <w:p w:rsidR="00684DFD" w:rsidRDefault="00684DFD" w:rsidP="00684DFD">
      <w:pPr>
        <w:pStyle w:val="Bezproreda"/>
        <w:jc w:val="center"/>
        <w:rPr>
          <w:sz w:val="24"/>
          <w:szCs w:val="24"/>
        </w:rPr>
      </w:pPr>
    </w:p>
    <w:p w:rsidR="00CF664B" w:rsidRPr="00684DFD" w:rsidRDefault="00CF664B" w:rsidP="00684DFD">
      <w:pPr>
        <w:pStyle w:val="Bezproreda"/>
        <w:jc w:val="center"/>
        <w:rPr>
          <w:sz w:val="24"/>
          <w:szCs w:val="24"/>
        </w:rPr>
      </w:pPr>
    </w:p>
    <w:p w:rsidR="00684DFD" w:rsidRDefault="00684DFD" w:rsidP="00684DFD">
      <w:pPr>
        <w:pStyle w:val="Bezproreda"/>
        <w:jc w:val="center"/>
        <w:rPr>
          <w:sz w:val="24"/>
          <w:szCs w:val="24"/>
        </w:rPr>
      </w:pPr>
      <w:r w:rsidRPr="00684DFD">
        <w:rPr>
          <w:sz w:val="24"/>
          <w:szCs w:val="24"/>
        </w:rPr>
        <w:t>Vrijedi od 12.1.2019</w:t>
      </w:r>
    </w:p>
    <w:p w:rsidR="00684DFD" w:rsidRDefault="00684DFD" w:rsidP="00684DFD">
      <w:pPr>
        <w:pStyle w:val="Bezproreda"/>
        <w:jc w:val="center"/>
        <w:rPr>
          <w:sz w:val="24"/>
          <w:szCs w:val="24"/>
        </w:rPr>
      </w:pPr>
    </w:p>
    <w:p w:rsidR="00CF664B" w:rsidRDefault="00CF664B" w:rsidP="00684DFD">
      <w:pPr>
        <w:pStyle w:val="Bezproreda"/>
        <w:jc w:val="center"/>
        <w:rPr>
          <w:sz w:val="24"/>
          <w:szCs w:val="24"/>
        </w:rPr>
      </w:pPr>
    </w:p>
    <w:p w:rsidR="00CF664B" w:rsidRDefault="00CF664B" w:rsidP="00684DFD">
      <w:pPr>
        <w:pStyle w:val="Bezproreda"/>
        <w:jc w:val="center"/>
        <w:rPr>
          <w:sz w:val="24"/>
          <w:szCs w:val="24"/>
        </w:rPr>
      </w:pPr>
    </w:p>
    <w:p w:rsidR="00CF664B" w:rsidRDefault="00CF664B" w:rsidP="00684DFD">
      <w:pPr>
        <w:pStyle w:val="Bezproreda"/>
        <w:jc w:val="center"/>
        <w:rPr>
          <w:sz w:val="24"/>
          <w:szCs w:val="24"/>
        </w:rPr>
      </w:pPr>
    </w:p>
    <w:p w:rsidR="00CF664B" w:rsidRDefault="00CF664B" w:rsidP="00684DFD">
      <w:pPr>
        <w:pStyle w:val="Bezproreda"/>
        <w:jc w:val="center"/>
        <w:rPr>
          <w:sz w:val="24"/>
          <w:szCs w:val="24"/>
        </w:rPr>
      </w:pP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I. OPĆE ODREDBE</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Ovim se Pravilnikom propisuje obaveza utvrđivanja sukladnosti vozila, tehnički zahtjevi koje vozila odnosno zasebne tehničke jedinice i dijelovi za vozila moraju ispunjavati, sadržaj zahtjeva, potvrde o evidenciji tipa vozila, potvrde o sukladnosti tipa vozila, izjave o sukladnosti vozila i potvrde o sukladnosti pojedinačno pregledanog vozila, postupak ispitivanja vozila, uvjeti koje moraju ispunjavati pravne osobe za provođenje određenih radnji u postupku utvrđivanja sukladnosti, izuzeća od postupka, nadzor te naknade koje se naplaćuju za pokriće troškova provođenja postupka utvrđivanja sukladnosti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2.</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Obavezi utvrđivanja sukladnosti podliježu cestovna motorna i priključna vozila (u daljnjem tekstu: »vozila«) kategorija M, N i O. Definicije kategorija vozila propisane su u Prilogu I ovoga Pravilnika.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Utvrđivanje sukladnosti vozila provodi se za sve kategorije novih ili rabljenih vozila nakon njihova unosa, uvoza ili prodaje a prije prve registracije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Utvrđivanje sukladnosti vozila ne provodi se za vozila koja su izuzeta od postupka prema članku 44. ovoga Pravilnika.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Utvrđivanje sukladnosti vozila u smislu odredbi ovoga Pravilnika u Republici Hrvatskoj provodi Državni zavod za mjeriteljstvo (u daljnjemu tekstu: Zavod) na temelju zahtjeva dobavljača. Pojedine poslove u postupku utvrđivanja sukladnosti vozila obavlja pravna osoba koju za to ovlasti Zavod (u daljnjem tekstu: ovlaštena pravna osoba).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5.</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Postupak utvrđivanja sukladnosti vozila podrazumijeva pregled dokumentacije i po potrebi pregled vozila, izdavanje izvještaja o zadovoljavanju propisanih uvjeta, izdavanje potvrde o evidenciji/sukladnosti tipa vozila, izjave o sukladnosti vozila, potvrde o sukladnosti pojedinačno pregledanog vozila te upis podataka u jedinstvenu bazu homologacijskih podataka.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6.</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smislu ovoga Pravilnika pojedini pojmovi imaju sljedeće značenje: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Distributer</w:t>
      </w:r>
      <w:r w:rsidRPr="00684DFD">
        <w:rPr>
          <w:rFonts w:ascii="Arial" w:eastAsia="Times New Roman" w:hAnsi="Arial" w:cs="Arial"/>
          <w:color w:val="484848"/>
          <w:sz w:val="20"/>
          <w:szCs w:val="20"/>
          <w:lang w:eastAsia="hr-HR"/>
        </w:rPr>
        <w:t> označava svaku fizičku ili pravnu osobu u dobavnom lancu, osim proizvođača ili uvoznika, koja na tržištu nudi/prodaje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Dobavljač </w:t>
      </w:r>
      <w:r w:rsidRPr="00684DFD">
        <w:rPr>
          <w:rFonts w:ascii="Arial" w:eastAsia="Times New Roman" w:hAnsi="Arial" w:cs="Arial"/>
          <w:color w:val="484848"/>
          <w:sz w:val="20"/>
          <w:szCs w:val="20"/>
          <w:lang w:eastAsia="hr-HR"/>
        </w:rPr>
        <w:t>označava proizvođača ili njegovog ovlaštenog zastupnika ili uvoznika.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lastRenderedPageBreak/>
        <w:t>Dovršeno vozilo </w:t>
      </w:r>
      <w:r w:rsidRPr="00684DFD">
        <w:rPr>
          <w:rFonts w:ascii="Arial" w:eastAsia="Times New Roman" w:hAnsi="Arial" w:cs="Arial"/>
          <w:color w:val="484848"/>
          <w:sz w:val="20"/>
          <w:szCs w:val="20"/>
          <w:lang w:eastAsia="hr-HR"/>
        </w:rPr>
        <w:t>je vozilo koje je rezultat postupka višestupanjske homologacije i koje zadovoljava sve odgovarajuće zahtjeve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EU certifikat o sukladnosti (u daljnjem tekstu: COC dokument (EU Certificate of Conformity)) </w:t>
      </w:r>
      <w:r w:rsidRPr="00684DFD">
        <w:rPr>
          <w:rFonts w:ascii="Arial" w:eastAsia="Times New Roman" w:hAnsi="Arial" w:cs="Arial"/>
          <w:color w:val="484848"/>
          <w:sz w:val="20"/>
          <w:szCs w:val="20"/>
          <w:lang w:eastAsia="hr-HR"/>
        </w:rPr>
        <w:t>je dokument koji izdaje proizvođač vozila s podacima predmetnog vozila kojim se potvrđuje da je vozilo iz serije vozila koje posjeduje EU homologaciju tipa vozila (WVTA) i ispunjava zahtjeve koji su bili na snazi u vrijeme njegove proizvodnje.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EU homologacija </w:t>
      </w:r>
      <w:r w:rsidRPr="00684DFD">
        <w:rPr>
          <w:rFonts w:ascii="Arial" w:eastAsia="Times New Roman" w:hAnsi="Arial" w:cs="Arial"/>
          <w:color w:val="484848"/>
          <w:sz w:val="20"/>
          <w:szCs w:val="20"/>
          <w:lang w:eastAsia="hr-HR"/>
        </w:rPr>
        <w:t>je postupak kojim tijelo za homologaciju pojedine države članice Europske unije, potvrđuje da tip vozila, njegovi dijelovi i oprema zadovoljavaju odgovarajuće tehničke zahtjeve i ostale odredbe propisane za zemlje Europske unije.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Izjava o sukladnosti </w:t>
      </w:r>
      <w:r w:rsidRPr="00684DFD">
        <w:rPr>
          <w:rFonts w:ascii="Arial" w:eastAsia="Times New Roman" w:hAnsi="Arial" w:cs="Arial"/>
          <w:color w:val="484848"/>
          <w:sz w:val="20"/>
          <w:szCs w:val="20"/>
          <w:lang w:eastAsia="hr-HR"/>
        </w:rPr>
        <w:t>je dokument koji izdaje dobavljač vozila, a kojom se potvrđuje da vozilo iz serije homologiranoga tipa ispunjava zahtjeve koji su bili na snazi u vrijeme njegove proizvodnje;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Motorno vozilo </w:t>
      </w:r>
      <w:r w:rsidRPr="00684DFD">
        <w:rPr>
          <w:rFonts w:ascii="Arial" w:eastAsia="Times New Roman" w:hAnsi="Arial" w:cs="Arial"/>
          <w:color w:val="484848"/>
          <w:sz w:val="20"/>
          <w:szCs w:val="20"/>
          <w:lang w:eastAsia="hr-HR"/>
        </w:rPr>
        <w:t>je svako motorno vozilo, potpuno, dovršeno ili nepotpuno, sa vlastitim pogonom, a čija najveća konstrukcijska brzina prelazi 25 km/h.</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Nepotpuno vozilo </w:t>
      </w:r>
      <w:r w:rsidRPr="00684DFD">
        <w:rPr>
          <w:rFonts w:ascii="Arial" w:eastAsia="Times New Roman" w:hAnsi="Arial" w:cs="Arial"/>
          <w:color w:val="484848"/>
          <w:sz w:val="20"/>
          <w:szCs w:val="20"/>
          <w:lang w:eastAsia="hr-HR"/>
        </w:rPr>
        <w:t>je vozilo koje je potrebno dopuniti barem još u jednoj fazi kako bi zadovoljavalo sve odgovarajuće zahtjeve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Osnovno vozilo </w:t>
      </w:r>
      <w:r w:rsidRPr="00684DFD">
        <w:rPr>
          <w:rFonts w:ascii="Arial" w:eastAsia="Times New Roman" w:hAnsi="Arial" w:cs="Arial"/>
          <w:color w:val="484848"/>
          <w:sz w:val="20"/>
          <w:szCs w:val="20"/>
          <w:lang w:eastAsia="hr-HR"/>
        </w:rPr>
        <w:t>označava nepotpuno vozilo koje zadržava svoju identifikacijsku oznaku vozila (VIN) u svim sljedećim fazama postupka višestupanjske homologacije;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Ovlašteni zastupnik </w:t>
      </w:r>
      <w:r w:rsidRPr="00684DFD">
        <w:rPr>
          <w:rFonts w:ascii="Arial" w:eastAsia="Times New Roman" w:hAnsi="Arial" w:cs="Arial"/>
          <w:color w:val="484848"/>
          <w:sz w:val="20"/>
          <w:szCs w:val="20"/>
          <w:lang w:eastAsia="hr-HR"/>
        </w:rPr>
        <w:t>označava svaku fizičku ili pravnu osobu sa sjedištem u RH koju je proizvođač pismeno ovlastio da u njegovo ime provodi određene radnje u vezi s obavezama proizvođača u skladu s ovim Pravilnikom.</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Ovlaštena pravna osoba </w:t>
      </w:r>
      <w:r w:rsidRPr="00684DFD">
        <w:rPr>
          <w:rFonts w:ascii="Arial" w:eastAsia="Times New Roman" w:hAnsi="Arial" w:cs="Arial"/>
          <w:color w:val="484848"/>
          <w:sz w:val="20"/>
          <w:szCs w:val="20"/>
          <w:lang w:eastAsia="hr-HR"/>
        </w:rPr>
        <w:t>je pravna osoba kojoj je Zavod izdao rješenje sukladno odredbama ovoga Pravilnika za obavljanje pojedinih stručnih i tehničkih poslova utvrđivanja sukladnosti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Postupak evidentiranja tipa vozila </w:t>
      </w:r>
      <w:r w:rsidRPr="00684DFD">
        <w:rPr>
          <w:rFonts w:ascii="Arial" w:eastAsia="Times New Roman" w:hAnsi="Arial" w:cs="Arial"/>
          <w:color w:val="484848"/>
          <w:sz w:val="20"/>
          <w:szCs w:val="20"/>
          <w:lang w:eastAsia="hr-HR"/>
        </w:rPr>
        <w:t>je postupak kojim se utvrđuje i evidentira koje tipove, varijante i izvedbe vozila pojedini dobavljač stavlja na tržište Republike Hrvatske a provodi ga Zavod za nova vozila za koje je izdana EU homologacija.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Postupak nacionalne homologacije tipa vozila </w:t>
      </w:r>
      <w:r w:rsidRPr="00684DFD">
        <w:rPr>
          <w:rFonts w:ascii="Arial" w:eastAsia="Times New Roman" w:hAnsi="Arial" w:cs="Arial"/>
          <w:color w:val="484848"/>
          <w:sz w:val="20"/>
          <w:szCs w:val="20"/>
          <w:lang w:eastAsia="hr-HR"/>
        </w:rPr>
        <w:t>je postupak utvrđivanja sukladnosti tipa vozila a provodi ga Zavod za nova vozila koji se serijski proizvode u RH kao i za vozila za koje nije izdana EU homologacija.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Postupak identifikacije i utvrđivanje stanja vozila </w:t>
      </w:r>
      <w:r w:rsidRPr="00684DFD">
        <w:rPr>
          <w:rFonts w:ascii="Arial" w:eastAsia="Times New Roman" w:hAnsi="Arial" w:cs="Arial"/>
          <w:color w:val="484848"/>
          <w:sz w:val="20"/>
          <w:szCs w:val="20"/>
          <w:lang w:eastAsia="hr-HR"/>
        </w:rPr>
        <w:t>je postupak utvrđivanja sukladnosti pojedinačnog vozila, a provodi ga ovlaštena pravna osoba za nova i rabljena vozila koji se unose u RH.</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Postupak pojedinačnog odobravanja vozila</w:t>
      </w:r>
      <w:r w:rsidRPr="00684DFD">
        <w:rPr>
          <w:rFonts w:ascii="Arial" w:eastAsia="Times New Roman" w:hAnsi="Arial" w:cs="Arial"/>
          <w:color w:val="484848"/>
          <w:sz w:val="20"/>
          <w:szCs w:val="20"/>
          <w:lang w:eastAsia="hr-HR"/>
        </w:rPr>
        <w:t> je postupak utvrđivanja sukladnosti pojedinačnog vozila, a provodi ga ovlaštena pravna osoba za vozila koja se uvoze u RH, vozila koja se pojedinačno proizvode u Republici Hrvatskoj, nepotpuna vozila koje se dovršavaju u jednoj ili više faza i za nova vozila proizvedena u EU za koja nije izdana EU homologacija tipa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Potpuno vozilo </w:t>
      </w:r>
      <w:r w:rsidRPr="00684DFD">
        <w:rPr>
          <w:rFonts w:ascii="Arial" w:eastAsia="Times New Roman" w:hAnsi="Arial" w:cs="Arial"/>
          <w:color w:val="484848"/>
          <w:sz w:val="20"/>
          <w:szCs w:val="20"/>
          <w:lang w:eastAsia="hr-HR"/>
        </w:rPr>
        <w:t>je vozilo koje je proizvođač izradio bez prekida postupka od početne do završne faze, tako da ono zadovoljava sve odgovarajuće zahtjeve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Potvrda proizvođača </w:t>
      </w:r>
      <w:r w:rsidRPr="00684DFD">
        <w:rPr>
          <w:rFonts w:ascii="Arial" w:eastAsia="Times New Roman" w:hAnsi="Arial" w:cs="Arial"/>
          <w:color w:val="484848"/>
          <w:sz w:val="20"/>
          <w:szCs w:val="20"/>
          <w:lang w:eastAsia="hr-HR"/>
        </w:rPr>
        <w:t>je dokument s kojim dobavljač ili Zavod potvrđuju kojim je EU Direktivama i Uredbama odnosno UNECE Pravilnicima udovoljavalo vozilo odnosno njegovi sustavi i dijelovi u trenutku proizvodnje a sadrži i tehničke podatke o vozilu. Obrazac potvrde proizvođača ovisno o kategoriji vozila nalazi se na web stranicama Zavoda (http://www.dzm.hr/homologacija).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Potvrda o evidenciji tipa vozila </w:t>
      </w:r>
      <w:r w:rsidRPr="00684DFD">
        <w:rPr>
          <w:rFonts w:ascii="Arial" w:eastAsia="Times New Roman" w:hAnsi="Arial" w:cs="Arial"/>
          <w:color w:val="484848"/>
          <w:sz w:val="20"/>
          <w:szCs w:val="20"/>
          <w:lang w:eastAsia="hr-HR"/>
        </w:rPr>
        <w:t>je dokument kojim Zavod službeno potvrđuje da vozilo za koji je izdana EU homologacija ispunjava zahtjeve propisane ovim Pravilnikom.</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lastRenderedPageBreak/>
        <w:t>Potvrda o sukladnosti tipa vozila </w:t>
      </w:r>
      <w:r w:rsidRPr="00684DFD">
        <w:rPr>
          <w:rFonts w:ascii="Arial" w:eastAsia="Times New Roman" w:hAnsi="Arial" w:cs="Arial"/>
          <w:color w:val="484848"/>
          <w:sz w:val="20"/>
          <w:szCs w:val="20"/>
          <w:lang w:eastAsia="hr-HR"/>
        </w:rPr>
        <w:t>je dokument kojim Zavod službeno potvrđuje da su tip vozila, dijelovi i oprema homologirani sukladno odredbama propisa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Potvrda o sukladnosti pojedinačno pregledanog vozila </w:t>
      </w:r>
      <w:r w:rsidRPr="00684DFD">
        <w:rPr>
          <w:rFonts w:ascii="Arial" w:eastAsia="Times New Roman" w:hAnsi="Arial" w:cs="Arial"/>
          <w:color w:val="484848"/>
          <w:sz w:val="20"/>
          <w:szCs w:val="20"/>
          <w:lang w:eastAsia="hr-HR"/>
        </w:rPr>
        <w:t>je dokument kojim ovlaštena pravna osoba službeno potvrđuje da vozilo ispunjava zahtjeve propisane ovim Pravilnikom.</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Priključno vozilo </w:t>
      </w:r>
      <w:r w:rsidRPr="00684DFD">
        <w:rPr>
          <w:rFonts w:ascii="Arial" w:eastAsia="Times New Roman" w:hAnsi="Arial" w:cs="Arial"/>
          <w:color w:val="484848"/>
          <w:sz w:val="20"/>
          <w:szCs w:val="20"/>
          <w:lang w:eastAsia="hr-HR"/>
        </w:rPr>
        <w:t>označava svako vozilo bez vlastitoga pogona na kotačima koje je konstruirano i proizvedeno da ga vuče motorno vozilo.</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Proizvođač</w:t>
      </w:r>
      <w:r w:rsidRPr="00684DFD">
        <w:rPr>
          <w:rFonts w:ascii="Arial" w:eastAsia="Times New Roman" w:hAnsi="Arial" w:cs="Arial"/>
          <w:color w:val="484848"/>
          <w:sz w:val="20"/>
          <w:szCs w:val="20"/>
          <w:lang w:eastAsia="hr-HR"/>
        </w:rPr>
        <w:t> označava svaku fizičku ili pravnu osobu koja proizvodi vozilo ili za koju se vozilo konstruira ili proizvodi, a on taj proizvod prodaje pod svojim imenom ili markom.</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Rabljeno vozilo </w:t>
      </w:r>
      <w:r w:rsidRPr="00684DFD">
        <w:rPr>
          <w:rFonts w:ascii="Arial" w:eastAsia="Times New Roman" w:hAnsi="Arial" w:cs="Arial"/>
          <w:color w:val="484848"/>
          <w:sz w:val="20"/>
          <w:szCs w:val="20"/>
          <w:lang w:eastAsia="hr-HR"/>
        </w:rPr>
        <w:t>označava vozilo od čije prve registracije je prošlo najmanje šest mjeseci.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Tehnička služba </w:t>
      </w:r>
      <w:r w:rsidRPr="00684DFD">
        <w:rPr>
          <w:rFonts w:ascii="Arial" w:eastAsia="Times New Roman" w:hAnsi="Arial" w:cs="Arial"/>
          <w:color w:val="484848"/>
          <w:sz w:val="20"/>
          <w:szCs w:val="20"/>
          <w:lang w:eastAsia="hr-HR"/>
        </w:rPr>
        <w:t>označava fizičku ili pravnu osobu koja je ovlaštena kao ispitni laboratorij za provođenje ispitivanja ili provjera u postupku homologacije i pojedinačnog odobravanja vozila, u ime Zavoda kad tu funkciju ne obavlja Zavod.</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Tijelo nadležno za homologaciju </w:t>
      </w:r>
      <w:r w:rsidRPr="00684DFD">
        <w:rPr>
          <w:rFonts w:ascii="Arial" w:eastAsia="Times New Roman" w:hAnsi="Arial" w:cs="Arial"/>
          <w:color w:val="484848"/>
          <w:sz w:val="20"/>
          <w:szCs w:val="20"/>
          <w:lang w:eastAsia="hr-HR"/>
        </w:rPr>
        <w:t>označava nadležno tijelo koje je odgovorno za sve vidove postupka homologacije tipa vozila, sustava, sastavnoga dijela ili zasebne tehničke jedinice.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Tip vozila </w:t>
      </w:r>
      <w:r w:rsidRPr="00684DFD">
        <w:rPr>
          <w:rFonts w:ascii="Arial" w:eastAsia="Times New Roman" w:hAnsi="Arial" w:cs="Arial"/>
          <w:color w:val="484848"/>
          <w:sz w:val="20"/>
          <w:szCs w:val="20"/>
          <w:lang w:eastAsia="hr-HR"/>
        </w:rPr>
        <w:t>označava vozilo iste kategorije, istoga proizvođača i iste proizvođačke oznake tipa koje se bitno ne razlikuju u pogonskom motoru i podvozju. Tip vozila može sadržavati varijante i izvedbe, čije se detaljnije pojašnjenje nalazi se u Prilogu I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Unos vozila </w:t>
      </w:r>
      <w:r w:rsidRPr="00684DFD">
        <w:rPr>
          <w:rFonts w:ascii="Arial" w:eastAsia="Times New Roman" w:hAnsi="Arial" w:cs="Arial"/>
          <w:color w:val="484848"/>
          <w:sz w:val="20"/>
          <w:szCs w:val="20"/>
          <w:lang w:eastAsia="hr-HR"/>
        </w:rPr>
        <w:t>je svaki unos u Republiku Hrvatsku s teritorija države članice Europske unije, kako je propisano zakonodavstvom Europske unije, osim iz trećih teritorija.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Uvoz vozila </w:t>
      </w:r>
      <w:r w:rsidRPr="00684DFD">
        <w:rPr>
          <w:rFonts w:ascii="Arial" w:eastAsia="Times New Roman" w:hAnsi="Arial" w:cs="Arial"/>
          <w:color w:val="484848"/>
          <w:sz w:val="20"/>
          <w:szCs w:val="20"/>
          <w:lang w:eastAsia="hr-HR"/>
        </w:rPr>
        <w:t>je svaki unos u Europsku uniju iz trećih država odnosno trećih teritorija, osim ako ovim Pravilnikom nije drukčije propisano.</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Utvrđivanje sukladnosti pojedinačno pregledanog vozila </w:t>
      </w:r>
      <w:r w:rsidRPr="00684DFD">
        <w:rPr>
          <w:rFonts w:ascii="Arial" w:eastAsia="Times New Roman" w:hAnsi="Arial" w:cs="Arial"/>
          <w:color w:val="484848"/>
          <w:sz w:val="20"/>
          <w:szCs w:val="20"/>
          <w:lang w:eastAsia="hr-HR"/>
        </w:rPr>
        <w:t>obuhvaća postupak identifikacije i utvrđivanja stanja vozila te postupak pojedinačnog odobravanja vozila, a provodi ga ovlaštena pravna osoba.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Utvrđivanje sukladnosti tipa vozila </w:t>
      </w:r>
      <w:r w:rsidRPr="00684DFD">
        <w:rPr>
          <w:rFonts w:ascii="Arial" w:eastAsia="Times New Roman" w:hAnsi="Arial" w:cs="Arial"/>
          <w:color w:val="484848"/>
          <w:sz w:val="20"/>
          <w:szCs w:val="20"/>
          <w:lang w:eastAsia="hr-HR"/>
        </w:rPr>
        <w:t>obuhvaća postupak nacionalne homologacije i postupak evidentiranja tipa vozila sa izdanom EU homologacijom tipa vozila a provodi ga Zavod.</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Višestupanjska homologacija </w:t>
      </w:r>
      <w:r w:rsidRPr="00684DFD">
        <w:rPr>
          <w:rFonts w:ascii="Arial" w:eastAsia="Times New Roman" w:hAnsi="Arial" w:cs="Arial"/>
          <w:color w:val="484848"/>
          <w:sz w:val="20"/>
          <w:szCs w:val="20"/>
          <w:lang w:eastAsia="hr-HR"/>
        </w:rPr>
        <w:t>je postupak kada u izradi vozila sudjeluje više različitih proizvođača (izrada po fazama), i kada se u svakoj narednoj fazi izrade prihvaća homologacija iz prethodne faze, a prva faza predstavlja izradu osnovnog vozila na kojem je predviđena nadogradnja.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i/>
          <w:iCs/>
          <w:color w:val="484848"/>
          <w:sz w:val="20"/>
          <w:szCs w:val="20"/>
          <w:lang w:eastAsia="hr-HR"/>
        </w:rPr>
        <w:t>Tehnička specifikacija vozila </w:t>
      </w:r>
      <w:r w:rsidRPr="00684DFD">
        <w:rPr>
          <w:rFonts w:ascii="Arial" w:eastAsia="Times New Roman" w:hAnsi="Arial" w:cs="Arial"/>
          <w:color w:val="484848"/>
          <w:sz w:val="20"/>
          <w:szCs w:val="20"/>
          <w:lang w:eastAsia="hr-HR"/>
        </w:rPr>
        <w:t>je dokument kojim Zavod odnosno pravna osoba koju ovlasti Zavod, potvrđuje kojim EU direktivama i uredbama odnosno UNECE pravilnicima je udovoljavalo vozilo odnosno njegovi sustavi i dijelovi u trenutku proizvodnje, a sadrži i tehničke podatke o vozilu.</w:t>
      </w: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II. TEHNIČKI ZAHTJEVI ZA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7.</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Novo vozilo ispunjava tehničke zahtjeve ovoga Pravilnika ako je za vozilo proveden postupak EU homologacije za vozilo kao cjelinu te vozilo zadovoljava odredbe odgovarajućih propisa koje vrijede na dan podnošenja zahtjeva.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Novo vozilo za koje nije proveden postupak EU homologacije zadovoljava zahtjeve ovoga Pravilnika ako zadovoljava odredbe pojedinačnih pravilnika o homologaciji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8.</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Rabljeno vozilo ispunjava tehničke zahtjeve ovoga Pravilnika ako ispunjava zahtjeve pojedinačnih pravilnika o homologaciji vozila ovisno od kategorije kojoj vozilo pripada.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9.</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lastRenderedPageBreak/>
        <w:t>Popis propisa za utvrđivanje sukladnosti novih vozila za koji je proveden postupak EU homologacije za vozilo kao cjelinu nalazi se na web stranicama Zavoda (http://www.dzm.hr/homologacija/propisi).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Popis propisa za utvrđivanje nacionalne homologacije, pojedinačno odobravanje vozila te za identifikaciju i ocjenu tehničkog stanja nalazi se na web stranicama Zavoda (http://www.dzm.hr/homologacija/propisi).</w:t>
      </w: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III. POSTUPCI UTVRĐIVANJA SUKLADNOSTI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10.</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Utvrđivanje sukladnosti vozila provodi se kao:</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1.) utvrđivanje sukladnosti tipa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 utvrđivanje sukladnosti pojedinačno pregledanog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11.</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Utvrđivanje sukladnosti tipa vozila obuhvaća: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1.) nacionalnu homologaciju tipa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 serijski proizvedena nova vozila Zavod može dodijeliti EU homologaciju tipa vozila po postupku sukladno odredbama Pravilnika o EU homologaciji i pojedinačnom odobravanju motornih vozila (izdanje 00) (»Narodne novine«, broj 9/10, 56/11, 74/11 i 66/12), odnosno Direktivi 2007/46/EZ.</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13.</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Utvrđivanje sukladnosti pojedinačno pregledanog vozila obuhvaća: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1.) postupak identifikacije i utvrđivanje stanja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provodi se za nova i rabljena vozila koja se unose u RH</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 pojedinačno odobravanje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provodi se za: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nova i rabljena vozila koja se uvoze u RH;</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nova vozila pojedinačno proizvedena u RH;</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nepotpuna vozila koja se dovršavaju u jednoj ili više faza.</w:t>
      </w: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IV. UTVRĐIVANJE SUKLADNOSTI TIPA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Postupak nacionalne homologacije tipa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14.</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Dobavljač podnosi Zavodu zahtjev za nacionalnu homologaciju vozila, za svaki tip koji treba homologirati, na obrascu iz Priloga II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Uz zahtjev za nacionalnu homologaciju tipa vozila potrebno je priložiti: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izvornik ili ovjerenu kopiju ugovora koji je dobavljač sklopio s proizvođačem (podnosi se samo prilikom predaje prvog zahtjeva);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tehnički opis vozila (u daljnjemu tekstu: opisni dokument);</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popis tehničkih podataka vozila, po varijantama i izvedbama, na propisanom obrascu za određenu kategoriju vozila koji je dostupan na web stranicama Zavoda (http://www.dzm.hr/homologacija)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 dokazivanje ispunjavanja propisanih zahtjeva proizvođač može dostaviti sljedeću dokumentaciju:</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certifikate o homologaciji sustava, sastavnog dijela ili zasebne tehničke jedinice;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izvještaje o ispitivanju sustava, sastavnog dijela ili zasebne tehničke jedinice koje je izdala tehnička služba ili proizvođač;</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lastRenderedPageBreak/>
        <w:t>- druge dokumente s kojima se dokazuje zadovoljavanje bitnih zahtjeva za sustav, sastavni dio ili zasebnu tehničku jedinicu.</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Zavod će priznati dostavljene certifikate o homologaciji sustava, sastavnog dijela ili zasebne tehničke jedinice koje je izdalo tijelo nadležno za homologaciju iz drugih država članica ili izvještaje o ispitivanju koje su izdale prijavljene tehničke službe, bez dodatnih ispitivanja i provjera u području na koje se ti dokumenti odnose.</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15.</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Kod višestupanjske homologacije potrebno je dostaviti dijelove homologacijske dokumentacije koji su bitni za trenutačni stupanj dovršenosti vozila kao i kopiju certifikata o homologaciji tipa za nepotpuno vozilo izdanoga za prethodni stupanj izrade vozila. Osim toga, proizvođač mora dostaviti sve podatke o preinakama i dodacima na nepotpunom vozilu.</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16.</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Pregled dokumentacije, uključujući tu i popis tehničkih podataka vozila na propisanom obrascu, i vozila koje predstavlja tip vozila za koji je zatražena homologacija obavlja ovlaštena pravna osoba koja obavlja funkciju tehničke službe koja nakon toga izdaje Zavodu izvještaj o ispitivanju te vrši unos podataka u jedinstvenu bazu homologacijskih podataka.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17.</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 tip vozila za koji se temeljem izvještaja o ispitivanju utvrdi da je u skladu s podacima u opisnoj mapi i popisom tehničkih podataka vozila, te ispunjava propisane tehničke zahtjeve sukladno odredbama članka 9. ovoga Pravilnika, Zavod će izdati Potvrdu o sukladnosti tipa vozila (PSTV) na obrascu iz Priloga III ovoga Pravilnika.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18.</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slučaju višestupanjske homologacije, Zavod će izdati potvrdu o sukladnosti tipu nepotpunog ili dovršenog vozila uzimajući u obzir stupanj dovršenosti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19.</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Ako tip vozila ne ispunjava propisane tehničke zahtjeve, Zavod donosi rješenje kojim se uskraćuje izdavanje potvrde o sukladnosti tipa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Protiv rješenja iz stavka 1. ovoga članka nije dopuštena žalba već se može pokrenuti upravni spor.</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20.</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Dodijeljena potvrda o sukladnosti tipa vozila važi do rokova navedenih u izmjenama i dopunama homologacijskih propisa kad one imaju za posljedicu izmjene potvrda o sukladnosti tipa vozila koje su izdane prema prijašnjim verzijama tih homologacijskih propisa.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Proizvođač kojemu je izdana potvrda o sukladnosti tipa vozila obvezan je u slučaju izmjene podataka ili preinake vozila obavijestiti Zavod.</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21.</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Na zahtjev proizvođača, Zavod može priznati homologaciju dodijeljenu u državi članici, s kojom se utvrđuje sukladnost vozila s njezinim propisima o homologaciji vozila, ako utvrdi da ti propisi predstavljaju istu razinu zahtjeva kao propisi koji se primjenjuju u RH. U takvom slučaju, Zavod će izdati potvrdu o sukladnosti tipa vozila iz članka 17.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Uz zahtjev za priznavanje homologacije iz prvog stavka ovoga članka, proizvođač mora priložiti odgovarajući certifikat o homologaciji tipa vozila, s prilozima, i popis dodijeljenih certifikata o homologaciji i/ili izvještaja o ispitivanju za taj tip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22.</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lastRenderedPageBreak/>
        <w:t>Posjednik potvrde o sukladnosti tipa vozila mora obavijestiti Zavod o potpunom prestanku proizvodnje. Nakon prijema obavijesti o prestanku proizvodnje, Zavod će ukinuti dodijeljenu potvrdu o sukladnosti tipa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Sukladnost proizvodnje</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23.</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Pri dodjeljivanju homologacije Zavod će u skladu s Prilogom IX. Pravilnika o EU homologaciji i pojedinačnom odobravanju motornih vozila (izdanje 00), provjeriti jesu li provedene odgovarajuće radnje kojima se osigurava da vozila budu proizvedena u skladu s homologiranim tipom.</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Nakon što dodijeli PSTV, Zavod će provoditi nadzor u skladu s Prilogom IX. Pravilnika o EU homologaciji i pojedinačnom odobravanju motornih vozila (izdanje 00), radi provjere jesu li radnje navedene u stavku 1. ovoga članka stalne i odgovarajuće i zadržavaju li proizvedena vozila sukladnost s homologiranim tipom. Provjeru sukladnosti vozila s homologiranim tipom ograničava se na postupke navedene u točki 2. Priloga IX. Pravilnika o EU homologaciji i pojedinačnom odobravanju motornih vozila (izdanje 00).</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Proizvođač odgovara za sukladnost s homologiranim tipom svakog proizvedenog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24.</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Odstupanja od podataka u PSTV ili u opisnoj dokumentaciji smatraju se nesukladnošću s homologiranim tipom. Vozilo se ne smatra nesukladnim u odnosu na homologirani tip kad su odstupanja unutar dopuštenih odstupanja koja su predviđena u homologacijskim propisima.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Kad Zavod utvrdi da vozila koja imaju valjanu potvrdu o sukladnosti nisu sukladna s tipom koji je Zavod homologirao, zahtijevat će od proizvođača da uspostavi sukladnost proizvedenih vozila s homologiranim tipom.</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Kad Zavod pri nadzoru utvrdi nesukladnost s homologiranim tipom zbog odstupanja podataka u PSTV ili u opisnoj dokumentaciji privremeno će povući PSTV, navesti opis nesukladnosti i odrediti rok za njezino otklanjanje. Ako proizvođač u danom roku ne otkloni nesukladnost, Zavod će ukinuti PSTV.</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Evidentiranje tipa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25.</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Proizvođač podnosi Zavodu zahtjev za evidentiranje tipa vozila na obrascu propisanom u Prilogu II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Uz zahtjev potrebno je priložiti: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a) izvornik ili ovjerena kopija ugovora koji je dobavljač sklopio s proizvođačem (podnosi se samo prilikom predaje prvog zahtjeva);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b) popis tehničkih podataka vozila, po varijantama i izvedbama, na obrascu koje je dostupan na web adresi Zavoda (http://www.dzm.hr/homologacija)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c) objašnjenje varijanti i izvedbi i objašnjenje VIN oznake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d) kopija certifikata o EU homologaciji tipa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26.</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Zavod vrši provjeru dostavljene homologacijske dokumentacije i popisa tehničkih podataka te ih prosljeđuje ovlaštenoj pravnoj osobi na završnu provjeru i unos podatka u jedinstvenu bazu homologacijskih podataka.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Izvještaj o zadovoljavanju propisanih zahtjeva ovlaštena pravna osoba dostavlja u elektroničkom obliku Zavodu.</w:t>
      </w:r>
    </w:p>
    <w:p w:rsidR="00F33D40" w:rsidRDefault="00F33D40"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p>
    <w:p w:rsidR="00F33D40" w:rsidRDefault="00F33D40"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lastRenderedPageBreak/>
        <w:t>Članak 27.</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Ako tip vozila ispunjava tehničke zahtjeve propisane u članku 9. ovoga Pravilnika, Zavod izdaje Potvrdu o evidenciji tipa vozila (PETV) na obrascu iz Priloga IV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Ako tip vozilo ne ispunjava tehničke zahtjeve propisane ovim Pravilnikom Zavod donosi rješenje kojim se uskraćuje izdavanje potvrde o sukladnosti tipa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Protiv rješenja iz stavka 2. ovoga članka nije dopuštena žalba već se može pokrenuti upravni spor.</w:t>
      </w:r>
    </w:p>
    <w:p w:rsidR="00F33D40" w:rsidRDefault="00F33D40"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Izjava o sukladnosti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28.</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Dobavljač koji posjeduje potvrdu o evidenciji tipa vozila ili potvrdu o sukladnosti tipa vozila izdaje za svaku varijantu/izvedbu vozila Izjavu o sukladnosti vozila (ISV) kojom se korisniku jamči sukladnost vozila s tipom vozila potvrđenim od strane Zavoda.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Izjavu o sukladnosti vozila dobavljač ispisuje se iz jedinstvene baze homologacijskih podataka ovisno o kategoriji vozila na obrascu iz Priloga V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Izjava o sukladnosti vozila je dokument koji vlasnik vozila mora obavezano priložiti kod tehničkog pregleda prilikom prve registracije vozila u Republici Hrvatskoj.</w:t>
      </w:r>
    </w:p>
    <w:p w:rsidR="00F33D40" w:rsidRDefault="00F33D40"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bookmarkStart w:id="0" w:name="_GoBack"/>
      <w:bookmarkEnd w:id="0"/>
      <w:r w:rsidRPr="00684DFD">
        <w:rPr>
          <w:rFonts w:ascii="Trebuchet MS" w:eastAsia="Times New Roman" w:hAnsi="Trebuchet MS" w:cs="Times New Roman"/>
          <w:b/>
          <w:bCs/>
          <w:color w:val="484848"/>
          <w:sz w:val="21"/>
          <w:szCs w:val="21"/>
          <w:lang w:eastAsia="hr-HR"/>
        </w:rPr>
        <w:t>Članak 30.</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Posjednik PETV/PSTV može, za izdavanje pripadajućih izjava ovlastiti svoje ovlaštene dobavljače.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tu svrhu potrebno je Zavodu dostaviti popis ovlaštenih dobavljača za svaki tip vozila, a naknada iz članka 46. uvećava se u takvom slučaju za 50% za svakog ovlaštenog dobavljača.</w:t>
      </w: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V. UTVRĐIVANJE SUKLADNOSTI POJEDINAČNO PREGLEDANOG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31.</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Podnositelj zahtjeva podnosi zahtjev za provedbu postupka utvrđivanja sukladnosti pojedinačnog vozila izravno ovlaštenoj pravnoj osobi na obrascu čiji je sadržaj propisan u Prilogu II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Uz zahtjev se prilaže: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1.) u postupku identifikacije i utvrđivanja stanja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»COC« dokument (obavezan za nova vozila) ili potvrda proizvođača/tehnička specifikacija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kopija prometnih dokumenata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 u postupku pojedinačnog odobravanja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2.1.) u slučaju uvoza vozila u RH:</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potvrda proizvođača/tehnička specifikacija vozila ili »COC« dokument;</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kopija prometnih dokumenata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2.2.) u slučaju dovršavanja (nadogradnje) nepotpunog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izjavu o sukladnosti vozila / CoC dokument / potvrda o sukladnosti pojedinačno pregledanog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potvrda proizvođača/tehnička specifikacija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tehnički opis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ispitne izvještaje/pojedinačna homologacijska odobrenja ili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druge dokumente s kojima se dokazuje zadovoljavanje bitnih zahtjeva za sustav, sastavni dio ili zasebnu tehničku jedinicu;</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2.3.) u slučaju pojedinačno proizvedenog vozila u RH:</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lastRenderedPageBreak/>
        <w:t>- tehnički opis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ispitne izvještaje/pojedinačna homologacijska odobrenja ili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druge dokumente s kojima se dokazuje zadovoljavanje bitnih zahtjeva za sustav, sastavni dio ili zasebnu tehničku jedinicu;</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2.4.) u slučaju novog vozila proizvedenog u Europskoj Uniji za koji nije izdana EU homologacija tipa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tehnički opis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ispitne izvještaje/pojedinačna homologacijska odobrenja ili;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druge dokumente s kojima se dokazuje zadovoljavanje bitnih zahtjeva za sustav, sastavni dio ili zasebnu tehničku jedinicu;</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postupku se može po potrebi prihvatiti i druga odgovarajuća dokumentacija.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32.</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Popis dobavljača koji su ovlašteni od strane Zavoda za izdavanje potvrde proizvođača nalazi se na web-stranicama Zavoda (http://www.dzm.hr/homologacija/dobavljaci).</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33.</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slučaju da u Republici Hrvatskoj ne postoji ovlašteni dobavljač koji može izdati potvrdu proizvođača za određeni tip / varijantu / izvedbu vozila, zahtjev za izdavanje tehničke specifikacije vozila podnosi se Zavodu odnosno pravnoj osobi koju ovlasti Zavod.</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Uz zahtjev potrebno je dostaviti kopiju prometnih dokumenata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34.</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 vozila koja nisu homologirana prema zahtjevima EU Direktiva ili UNECE Pravilnika, proizvođač ili pravna osoba koju odobri Zavod, može izdati dokaz kojim se potvrđuje kojim EU Direktivama ili UNECE Pravilnicima predmetno vozilo odgovara.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35.</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Pregledom dokumentacije i vozila, a po potrebi i njegovim ispitivanjem ovlaštena pravna osoba utvrđuje sukladnost vozila s odredbama ovoga Pravilnika, te vrši upis podataka u jedinstvenu bazu homologacijskih podataka.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 vozilo koje ispunjava tehničke zahtjeve propisane u članku 7. odnosno 8. ovoga Pravilnika, ovlaštena pravna osoba izdaje Potvrdu o sukladnosti pojedinačno pregledanog vozila (PSPPV) za trenutni stupanj dovršenosti.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PSPPV ispisuje se iz jedinstvene baze homologacijskih podataka na obrascu iz Priloga VI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Potvrda o sukladnosti pojedinačno pregledanog vozila je dokument koji vlasnik vozila mora obavezno priložiti u postupku obračuna posebnog poreza na motorna vozila te prilikom prve registracije vozila u Republici Hrvatskoj.</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36.</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slučaju da vozilo ne ispunjava tehničke zahtjeve ovlaštena pravna osoba donosi rješenje kojim se uskraćuje izdavanje potvrde o sukladnosti pojedinačno pregledanog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Protiv rješenja iz stavka 1. ovoga članka nije dopuštena žalba već se može pokrenuti upravni spor.</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Ako se pregledom utvrdi da vozilo ne ispunjava propisane zahtjeve propisane ovim Pravilnikom zbog nedostataka koji se mogu otkloniti, dopuštena je zamjena/ugradba odgovarajućih dijelova/opreme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lastRenderedPageBreak/>
        <w:t>Ako vozilo nakon toga ispunjava sve propisane zahtjeve ovlaštena pravna osoba izdaje potvrdu o sukladnosti pojedinačno pregledanog vozila.</w:t>
      </w: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VI. UVJETI KOJE MORA ISPUNJAVATI PRAVNA OSOBA ZA PROVEDBU POSTUPKA UTVRĐIVANJA SUKLADNOSTI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37.</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 obavljanje stručnih i tehničkih poslova u postupku utvrđivanja sukladnosti tipa vozila prema ovom Pravilniku u svojstvu tehničke službe, ovlaštena pravna osoba mora ispunjavati zahtjeve usklađene norme za osposobljenost ispitnih laboratorija ili norme za rad organizacija koje provode nadzor. Proizvođač vozila ne može biti ovlašten za obavljanje poslova tehničke službe.</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38.</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 obavljanje stručnih i tehničkih poslova u postupku utvrđivanja sukladnosti vozila prema ovom Pravilniku, pravna osoba mora ispunjavati sljedeće uvjete: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1.) da raspolaže odgovarajućim radioničkim i uredskim prostorom u kojem je moguće obavljanje pregleda dokumentacije i provjere vozila, a taj prostor mora zadovoljiti uvjete s obzirom na dimenzije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 da raspolaže odgovarajućom opremom za pregled i provjeru vozila prema zahtjevima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3.) da ima najmanje tri djelatnika koji su završili preddiplomski i diplomski sveučilišni studij ili integrirani preddiplomski i diplomski sveučilišni studij tehničkog smjera, jednog djelatnika IV. stupnja stručne spreme tehničkog smjera za obavljanje stručnih i tehničkih poslova u postupku homologacije vozila i jednog djelatnika najmanje IV. stupnja stručne spreme za obavljanje administrativnih poslova;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4.) da ima na svakom ovlaštenom mjestu najmanje dva djelatnika IV. stupnja stručne spreme tehničkog smjera za obavljanje stručnih i tehničkih poslova u postupku homologacije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5.) da ima odgovarajuću informatičku i tehničku opremu za obavljanje povjerenih poslova;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6.) da ima razvijeno jedinstveno programsko rješenje za prikupljanje i obradu homologacijskih podataka u jedinstvenu bazu podataka homologacije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7.) da osigura provođenje postupka utvrđivanja sukladnosti vozila najmanje na jednom ovlaštenom mjestu u svakoj županiji te tri u gradu Zagrebu.</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39.</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Pravna osoba mora uz zahtjev za izdavanje rješenja o ovlaštenju za obavljanje poslova prema ovom Pravilniku, priložiti dokaze o ispunjavanju uvjeta iz članka 38. ovoga Pravilnika.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40.</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Pravnoj osobi koja ispunjava uvjete propisane ovim Pravilnikom Zavod izdaje rješenje o ovlaštenju.</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41.</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Ako pravna osoba kojoj je izdano rješenje za obavljanje poslova prema ovom Pravilniku prestane ispunjavati jedan ili više uvjeta iz članka 38. ovoga Pravilnika, Zavod će ukinuti rješenje.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Ako pravna osoba koja ima više ovlaštenih mjesta prestane ispunjavati jedan ili više uvjeta iz članka 38. ovoga Pravilnika za jedno ili više ovlašteno mjesta za obavljanje poslova prema ovom Pravilniku, Zavod će ukinuti rješenje u dijelu koji se odnosi na to ovlašteno mjesto.</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42.</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Djelatnici ovlaštene pravne osobe koji obavljaju stručne i tehničke poslove u postupku utvrđivanja sukladnosti pojedinačno pregledanog vozila dužni su položiti ispit prema programu za osposobljavanje za poslove provođenja postupka utvrđivanja sukladnosti pojedinačno pregledanog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lastRenderedPageBreak/>
        <w:t>Program iz stavka 1. ovog članka donosi Zavod te imenuje povjerenstvo za polaganje ispita.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Djelatnicima ovlaštene pravne osobe koji polože ispit Zavod izdaje uvjerenje na rok od 3 (tri) godine od dana njegove pravomoćnosti. Prije isteka toga roka djelatnici dužni su pristupiti ponovnoj provjeri znanja sukladno programu za osposobljavanje za poslove provođenja postupka utvrđivanja sukladnosti pojedinačno pregledanog vozila.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43.</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Ovlaštena pravna osoba tijekom svoga rada mora: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1.) obavljati poslove utvrđivanja sukladnosti vozila u okviru naknada utvrđenih ovim Pravilnikom;</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 obavijestiti Zavod o svakoj promjeni koja bi mogla utjecati na ispunjavanje uvjeta iz članka 38. ovoga Pravilnika;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3.) čuvati dokumentaciju i izdane PSPPV sukladne odredbama ovoga Pravilnika najmanje 5 godina;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4.) čuvati tajnost podataka do kojih dođu tijekom provođenja postupka utvrđivanja sukladnosti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5.) izraditi postupnik rada za utvrđivanje sukladnosti tipa vozila odnosno postupnik rada za utvrđivanje sukladnosti pojedinačno pregledanog vozila te ih dostaviti Zavodu na suglasnost.</w:t>
      </w: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VII. IZUZEĆA I ALTERNATIVNI POSTUPAK</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Izuzeća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44.</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Utvrđivanje sukladnosti vozila ne provodi se za: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1.) vozila uvezena/unesena za članove diplomatskih i konzularnih predstavništava stranih država u Republici Hrvatskoj koja će imati registracijske oznake diplomatskog ili konzularnog predstavništva;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 vozila koja se uvoze a nisu predviđena za vožnju u cestovnom prometu i koja neće biti registrirana;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3.) vatrogasna vozila, po potrebi uz mišljenje Državne uprave za spašavanje i zaštitu;</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4.) vozila namijenjena vojnim potrebama Oružanih snaga Republike Hrvatske, osim gospodarskih vozila i vozila za prijevoz putnika.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Ravnatelj zavoda može donijeti odluku da se vozilo izuzme od postupka utvrđivanja sukladnosti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Zahtjev za izuzeće od postupka utvrđivanja sukladnosti iz točaka 1. i 3. stavka 1. i stavka 2. ovoga Pravilnika podnosi se Zavodu.</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 primjenu odredbe iz točke 4. stavka 1. ovoga Pravilnika, Ministarstvo obrane Republike Hrvatske izdaje odgovarajuću izjavu.</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Alternativni postupak</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45.</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Primjena alternativnih zahtjeva provodi se za sljedeća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 xml:space="preserve">1.) </w:t>
      </w:r>
      <w:r w:rsidRPr="00684DFD">
        <w:rPr>
          <w:rFonts w:ascii="Arial" w:eastAsia="Times New Roman" w:hAnsi="Arial" w:cs="Arial"/>
          <w:color w:val="484848"/>
          <w:sz w:val="20"/>
          <w:szCs w:val="20"/>
          <w:shd w:val="clear" w:color="auto" w:fill="FFFF00"/>
          <w:lang w:eastAsia="hr-HR"/>
        </w:rPr>
        <w:t>starodobna vozila kojima se smatraju vozila starija od 30 godina i vozila koja predstavljaju doprinos njegovanju i obogaćivanju tehničke kulture</w:t>
      </w:r>
      <w:r w:rsidRPr="00684DFD">
        <w:rPr>
          <w:rFonts w:ascii="Arial" w:eastAsia="Times New Roman" w:hAnsi="Arial" w:cs="Arial"/>
          <w:color w:val="484848"/>
          <w:sz w:val="20"/>
          <w:szCs w:val="20"/>
          <w:lang w:eastAsia="hr-HR"/>
        </w:rPr>
        <w:t>;</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2.) vozila koja radi preseljenja unose/uvoze fizičke osobe ako su vozila bila u njihovom vlasništvu najmanje 6 mjeseci;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3.) vozila koja uvoze/unose osobe s prebivalištem ili boravištem u Republici Hrvatskoj, stečena na temelju pravomoćnog sudskog rješenja o nasljeđivanju;</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4.) rabljena vozila posebne namjene te iznimno i za vozila kojima je Zavod dodijelio takav status;</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lastRenderedPageBreak/>
        <w:t>5.) vozila koja se po prestanku diplomatske i konzularne službe stavljaju u prodaju u Republici Hrvatskoj u skladu s recipročnom primjenom privilegije za diplomatsko-konzularna predstavništva i njihovo osoblje;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6.) vozila koja se stavljaju u prodaju a nalazila su se u sustavu carinskog nadzora.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Zahtjev za primjenu alternativnog postupka utvrđivanja sukladnosti iz točaka 1. do 6. stavka 1. ovoga Pravilnika podnosi se Zavodu.</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Ukoliko Zavod utvrdi da se za vozilo primjenjuje alternativni postupak, vozilo se upućuje na postupak identifikacije i utvrđivanja stanja vozila kod ovlaštene pravne osobe.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Ukoliko ovlaštena pravna osoba utvrdi da u postupku nedostaju bitni tehnički podaci o predmetnom vozilu, stranka se može uputiti u postupak izrade tehničke specifikacije vozila;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Popis tehničkih zahtjeva koje vozila iz stavka 1. ovoga članka moraju ispunjavati propisan je u članku 9. ovoga Pravilnika.</w:t>
      </w: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VIII. NAKNADE</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46.</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postupku utvrđivanja sukladnosti tipa vozila naplaćuju se sljedeće naknade:</w:t>
      </w:r>
    </w:p>
    <w:tbl>
      <w:tblPr>
        <w:tblW w:w="0" w:type="auto"/>
        <w:tblCellSpacing w:w="0" w:type="dxa"/>
        <w:tblBorders>
          <w:top w:val="single" w:sz="48" w:space="0" w:color="C3C3C3"/>
          <w:left w:val="single" w:sz="6" w:space="0" w:color="C3C3C3"/>
          <w:bottom w:val="single" w:sz="48" w:space="0" w:color="C3C3C3"/>
          <w:right w:val="single" w:sz="6" w:space="0" w:color="C3C3C3"/>
        </w:tblBorders>
        <w:shd w:val="clear" w:color="auto" w:fill="FEFEFE"/>
        <w:tblCellMar>
          <w:left w:w="0" w:type="dxa"/>
          <w:right w:w="0" w:type="dxa"/>
        </w:tblCellMar>
        <w:tblLook w:val="04A0" w:firstRow="1" w:lastRow="0" w:firstColumn="1" w:lastColumn="0" w:noHBand="0" w:noVBand="1"/>
      </w:tblPr>
      <w:tblGrid>
        <w:gridCol w:w="999"/>
        <w:gridCol w:w="1250"/>
        <w:gridCol w:w="1240"/>
        <w:gridCol w:w="872"/>
        <w:gridCol w:w="944"/>
        <w:gridCol w:w="1070"/>
      </w:tblGrid>
      <w:tr w:rsidR="00684DFD" w:rsidRPr="00684DFD" w:rsidTr="00684DFD">
        <w:trPr>
          <w:tblCellSpacing w:w="0" w:type="dxa"/>
        </w:trPr>
        <w:tc>
          <w:tcPr>
            <w:tcW w:w="999" w:type="dxa"/>
            <w:vMerge w:val="restart"/>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Kategorija vozila</w:t>
            </w:r>
            <w:r w:rsidRPr="00684DFD">
              <w:rPr>
                <w:rFonts w:ascii="Trebuchet MS" w:eastAsia="Times New Roman" w:hAnsi="Trebuchet MS" w:cs="Times New Roman"/>
                <w:color w:val="484848"/>
                <w:sz w:val="17"/>
                <w:szCs w:val="17"/>
                <w:lang w:eastAsia="hr-HR"/>
              </w:rPr>
              <w:t> </w:t>
            </w:r>
          </w:p>
        </w:tc>
        <w:tc>
          <w:tcPr>
            <w:tcW w:w="5376" w:type="dxa"/>
            <w:gridSpan w:val="5"/>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Naknada u postupku</w:t>
            </w:r>
            <w:r w:rsidRPr="00684DFD">
              <w:rPr>
                <w:rFonts w:ascii="Trebuchet MS" w:eastAsia="Times New Roman" w:hAnsi="Trebuchet MS" w:cs="Times New Roman"/>
                <w:color w:val="484848"/>
                <w:sz w:val="17"/>
                <w:szCs w:val="17"/>
                <w:lang w:eastAsia="hr-HR"/>
              </w:rPr>
              <w:t> </w:t>
            </w:r>
          </w:p>
        </w:tc>
      </w:tr>
      <w:tr w:rsidR="00684DFD" w:rsidRPr="00684DFD" w:rsidTr="00684DFD">
        <w:trPr>
          <w:tblCellSpacing w:w="0" w:type="dxa"/>
        </w:trPr>
        <w:tc>
          <w:tcPr>
            <w:tcW w:w="0" w:type="auto"/>
            <w:vMerge/>
            <w:tcBorders>
              <w:top w:val="single" w:sz="6" w:space="0" w:color="C3C3C3"/>
              <w:left w:val="single" w:sz="6" w:space="0" w:color="C3C3C3"/>
              <w:bottom w:val="single" w:sz="6" w:space="0" w:color="C3C3C3"/>
              <w:right w:val="single" w:sz="6" w:space="0" w:color="C3C3C3"/>
            </w:tcBorders>
            <w:shd w:val="clear" w:color="auto" w:fill="FEFEFE"/>
            <w:vAlign w:val="cente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p>
        </w:tc>
        <w:tc>
          <w:tcPr>
            <w:tcW w:w="12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evidentiranja tipa vozila</w:t>
            </w:r>
            <w:r w:rsidRPr="00684DFD">
              <w:rPr>
                <w:rFonts w:ascii="Trebuchet MS" w:eastAsia="Times New Roman" w:hAnsi="Trebuchet MS" w:cs="Times New Roman"/>
                <w:color w:val="484848"/>
                <w:sz w:val="17"/>
                <w:szCs w:val="17"/>
                <w:lang w:eastAsia="hr-HR"/>
              </w:rPr>
              <w:t> </w:t>
            </w:r>
          </w:p>
        </w:tc>
        <w:tc>
          <w:tcPr>
            <w:tcW w:w="124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nacionalne homologacije tipa vozila</w:t>
            </w:r>
            <w:r w:rsidRPr="00684DFD">
              <w:rPr>
                <w:rFonts w:ascii="Trebuchet MS" w:eastAsia="Times New Roman" w:hAnsi="Trebuchet MS" w:cs="Times New Roman"/>
                <w:color w:val="484848"/>
                <w:sz w:val="17"/>
                <w:szCs w:val="17"/>
                <w:lang w:eastAsia="hr-HR"/>
              </w:rPr>
              <w:t> </w:t>
            </w:r>
          </w:p>
        </w:tc>
        <w:tc>
          <w:tcPr>
            <w:tcW w:w="872"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pregleda vozila</w:t>
            </w:r>
            <w:r w:rsidRPr="00684DFD">
              <w:rPr>
                <w:rFonts w:ascii="Trebuchet MS" w:eastAsia="Times New Roman" w:hAnsi="Trebuchet MS" w:cs="Times New Roman"/>
                <w:color w:val="484848"/>
                <w:sz w:val="17"/>
                <w:szCs w:val="17"/>
                <w:lang w:eastAsia="hr-HR"/>
              </w:rPr>
              <w:t> </w:t>
            </w:r>
          </w:p>
        </w:tc>
        <w:tc>
          <w:tcPr>
            <w:tcW w:w="944"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izdavanja dopune potvrde</w:t>
            </w:r>
            <w:r w:rsidRPr="00684DFD">
              <w:rPr>
                <w:rFonts w:ascii="Trebuchet MS" w:eastAsia="Times New Roman" w:hAnsi="Trebuchet MS" w:cs="Times New Roman"/>
                <w:color w:val="484848"/>
                <w:sz w:val="17"/>
                <w:szCs w:val="17"/>
                <w:lang w:eastAsia="hr-HR"/>
              </w:rPr>
              <w:t> </w:t>
            </w:r>
          </w:p>
        </w:tc>
        <w:tc>
          <w:tcPr>
            <w:tcW w:w="107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provjere i upis podataka u bazu</w:t>
            </w:r>
            <w:r w:rsidRPr="00684DFD">
              <w:rPr>
                <w:rFonts w:ascii="Trebuchet MS" w:eastAsia="Times New Roman" w:hAnsi="Trebuchet MS" w:cs="Times New Roman"/>
                <w:color w:val="484848"/>
                <w:sz w:val="17"/>
                <w:szCs w:val="17"/>
                <w:lang w:eastAsia="hr-HR"/>
              </w:rPr>
              <w:t> </w:t>
            </w:r>
          </w:p>
        </w:tc>
      </w:tr>
      <w:tr w:rsidR="00684DFD" w:rsidRPr="00684DFD" w:rsidTr="00684DFD">
        <w:trPr>
          <w:tblCellSpacing w:w="0" w:type="dxa"/>
        </w:trPr>
        <w:tc>
          <w:tcPr>
            <w:tcW w:w="999"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M1, N1,</w:t>
            </w:r>
            <w:r w:rsidRPr="00684DFD">
              <w:rPr>
                <w:rFonts w:ascii="Trebuchet MS" w:eastAsia="Times New Roman" w:hAnsi="Trebuchet MS" w:cs="Times New Roman"/>
                <w:color w:val="484848"/>
                <w:sz w:val="17"/>
                <w:szCs w:val="17"/>
                <w:lang w:eastAsia="hr-HR"/>
              </w:rPr>
              <w:br/>
            </w:r>
            <w:r w:rsidRPr="00684DFD">
              <w:rPr>
                <w:rFonts w:ascii="Trebuchet MS" w:eastAsia="Times New Roman" w:hAnsi="Trebuchet MS" w:cs="Times New Roman"/>
                <w:color w:val="484848"/>
                <w:sz w:val="17"/>
                <w:szCs w:val="17"/>
                <w:lang w:eastAsia="hr-HR"/>
              </w:rPr>
              <w:br/>
              <w:t>O3, O4</w:t>
            </w:r>
          </w:p>
        </w:tc>
        <w:tc>
          <w:tcPr>
            <w:tcW w:w="12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3.200,00 kn</w:t>
            </w:r>
          </w:p>
        </w:tc>
        <w:tc>
          <w:tcPr>
            <w:tcW w:w="124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3.200,00 kn</w:t>
            </w:r>
          </w:p>
        </w:tc>
        <w:tc>
          <w:tcPr>
            <w:tcW w:w="872"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1.000,00 kn</w:t>
            </w:r>
          </w:p>
        </w:tc>
        <w:tc>
          <w:tcPr>
            <w:tcW w:w="944"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800,00 kn</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500,00 kn</w:t>
            </w:r>
          </w:p>
        </w:tc>
      </w:tr>
      <w:tr w:rsidR="00684DFD" w:rsidRPr="00684DFD" w:rsidTr="00684DFD">
        <w:trPr>
          <w:tblCellSpacing w:w="0" w:type="dxa"/>
        </w:trPr>
        <w:tc>
          <w:tcPr>
            <w:tcW w:w="999"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M2, M3,</w:t>
            </w:r>
            <w:r w:rsidRPr="00684DFD">
              <w:rPr>
                <w:rFonts w:ascii="Trebuchet MS" w:eastAsia="Times New Roman" w:hAnsi="Trebuchet MS" w:cs="Times New Roman"/>
                <w:color w:val="484848"/>
                <w:sz w:val="17"/>
                <w:szCs w:val="17"/>
                <w:lang w:eastAsia="hr-HR"/>
              </w:rPr>
              <w:br/>
            </w:r>
            <w:r w:rsidRPr="00684DFD">
              <w:rPr>
                <w:rFonts w:ascii="Trebuchet MS" w:eastAsia="Times New Roman" w:hAnsi="Trebuchet MS" w:cs="Times New Roman"/>
                <w:color w:val="484848"/>
                <w:sz w:val="17"/>
                <w:szCs w:val="17"/>
                <w:lang w:eastAsia="hr-HR"/>
              </w:rPr>
              <w:br/>
              <w:t>N2, N3</w:t>
            </w:r>
          </w:p>
        </w:tc>
        <w:tc>
          <w:tcPr>
            <w:tcW w:w="12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4.800,00 kn</w:t>
            </w:r>
          </w:p>
        </w:tc>
        <w:tc>
          <w:tcPr>
            <w:tcW w:w="124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4.800,00 kn</w:t>
            </w:r>
          </w:p>
        </w:tc>
        <w:tc>
          <w:tcPr>
            <w:tcW w:w="872"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1.500,00 kn</w:t>
            </w:r>
          </w:p>
        </w:tc>
        <w:tc>
          <w:tcPr>
            <w:tcW w:w="944"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1.200,00 kn</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1.000,00 kn</w:t>
            </w:r>
          </w:p>
        </w:tc>
      </w:tr>
      <w:tr w:rsidR="00684DFD" w:rsidRPr="00684DFD" w:rsidTr="00684DFD">
        <w:trPr>
          <w:tblCellSpacing w:w="0" w:type="dxa"/>
        </w:trPr>
        <w:tc>
          <w:tcPr>
            <w:tcW w:w="999"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O1, O2</w:t>
            </w:r>
          </w:p>
        </w:tc>
        <w:tc>
          <w:tcPr>
            <w:tcW w:w="12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1.600,00 kn</w:t>
            </w:r>
          </w:p>
        </w:tc>
        <w:tc>
          <w:tcPr>
            <w:tcW w:w="124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1.600,00 kn</w:t>
            </w:r>
          </w:p>
        </w:tc>
        <w:tc>
          <w:tcPr>
            <w:tcW w:w="872"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500,00 kn</w:t>
            </w:r>
          </w:p>
        </w:tc>
        <w:tc>
          <w:tcPr>
            <w:tcW w:w="944"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400,00 kn</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400,00 kn</w:t>
            </w:r>
          </w:p>
        </w:tc>
      </w:tr>
    </w:tbl>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Naknadu za evidentiranje tipa vozila, utvrđivanja nacionalne sukladnosti tipa vozila te izdavanje dopune podnositelj zahtjeva uplaćuje u državni proračun Republike Hrvatske na temelju ispostavljenog računa od strane Zavoda.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Naknadu za provjeru i upis podataka u bazu podnositelj zahtjeva plaća na temelju ispostavljenog računa ovlaštenoj pravnoj osobi. Iz ove naknade ovlaštena pravna osoba pokriva troškove održavanja programskog rješenja i baze podataka i njihovog mogućeg razvoja.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iznos naknada nije uključen porez na dodanu vrijednost (PDV) te trošak mogućih ispitivanja.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47.</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postupku izdavanja EU homologacije tipa vozila naplaćuju se sljedeće naknade:</w:t>
      </w:r>
    </w:p>
    <w:tbl>
      <w:tblPr>
        <w:tblW w:w="0" w:type="auto"/>
        <w:tblCellSpacing w:w="0" w:type="dxa"/>
        <w:tblBorders>
          <w:top w:val="single" w:sz="48" w:space="0" w:color="C3C3C3"/>
          <w:left w:val="single" w:sz="6" w:space="0" w:color="C3C3C3"/>
          <w:bottom w:val="single" w:sz="48" w:space="0" w:color="C3C3C3"/>
          <w:right w:val="single" w:sz="6" w:space="0" w:color="C3C3C3"/>
        </w:tblBorders>
        <w:shd w:val="clear" w:color="auto" w:fill="FEFEFE"/>
        <w:tblCellMar>
          <w:left w:w="0" w:type="dxa"/>
          <w:right w:w="0" w:type="dxa"/>
        </w:tblCellMar>
        <w:tblLook w:val="04A0" w:firstRow="1" w:lastRow="0" w:firstColumn="1" w:lastColumn="0" w:noHBand="0" w:noVBand="1"/>
      </w:tblPr>
      <w:tblGrid>
        <w:gridCol w:w="1465"/>
        <w:gridCol w:w="1453"/>
        <w:gridCol w:w="2064"/>
      </w:tblGrid>
      <w:tr w:rsidR="00684DFD" w:rsidRPr="00684DFD" w:rsidTr="00684DFD">
        <w:trPr>
          <w:tblCellSpacing w:w="0" w:type="dxa"/>
        </w:trPr>
        <w:tc>
          <w:tcPr>
            <w:tcW w:w="0" w:type="auto"/>
            <w:vMerge w:val="restart"/>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lastRenderedPageBreak/>
              <w:t>Kategorija vozila</w:t>
            </w:r>
          </w:p>
        </w:tc>
        <w:tc>
          <w:tcPr>
            <w:tcW w:w="0" w:type="auto"/>
            <w:gridSpan w:val="2"/>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Naknada u postupku izdavanja</w:t>
            </w:r>
          </w:p>
        </w:tc>
      </w:tr>
      <w:tr w:rsidR="00684DFD" w:rsidRPr="00684DFD" w:rsidTr="00684DFD">
        <w:trPr>
          <w:tblCellSpacing w:w="0" w:type="dxa"/>
        </w:trPr>
        <w:tc>
          <w:tcPr>
            <w:tcW w:w="0" w:type="auto"/>
            <w:vMerge/>
            <w:tcBorders>
              <w:top w:val="single" w:sz="6" w:space="0" w:color="C3C3C3"/>
              <w:left w:val="single" w:sz="6" w:space="0" w:color="C3C3C3"/>
              <w:bottom w:val="single" w:sz="6" w:space="0" w:color="C3C3C3"/>
              <w:right w:val="single" w:sz="6" w:space="0" w:color="C3C3C3"/>
            </w:tcBorders>
            <w:shd w:val="clear" w:color="auto" w:fill="FEFEFE"/>
            <w:vAlign w:val="cente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EU homologacije</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dopune EU homologacije</w:t>
            </w:r>
          </w:p>
        </w:tc>
      </w:tr>
      <w:tr w:rsidR="00684DFD" w:rsidRPr="00684DFD" w:rsidTr="00684DFD">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M1, N1,</w:t>
            </w:r>
            <w:r w:rsidRPr="00684DFD">
              <w:rPr>
                <w:rFonts w:ascii="Trebuchet MS" w:eastAsia="Times New Roman" w:hAnsi="Trebuchet MS" w:cs="Times New Roman"/>
                <w:color w:val="484848"/>
                <w:sz w:val="17"/>
                <w:szCs w:val="17"/>
                <w:lang w:eastAsia="hr-HR"/>
              </w:rPr>
              <w:br/>
            </w:r>
            <w:r w:rsidRPr="00684DFD">
              <w:rPr>
                <w:rFonts w:ascii="Trebuchet MS" w:eastAsia="Times New Roman" w:hAnsi="Trebuchet MS" w:cs="Times New Roman"/>
                <w:color w:val="484848"/>
                <w:sz w:val="17"/>
                <w:szCs w:val="17"/>
                <w:lang w:eastAsia="hr-HR"/>
              </w:rPr>
              <w:br/>
              <w:t>O3, O4</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5.000,00 kn</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2.500,00 kn</w:t>
            </w:r>
          </w:p>
        </w:tc>
      </w:tr>
      <w:tr w:rsidR="00684DFD" w:rsidRPr="00684DFD" w:rsidTr="00684DFD">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M2,M3,</w:t>
            </w:r>
            <w:r w:rsidRPr="00684DFD">
              <w:rPr>
                <w:rFonts w:ascii="Trebuchet MS" w:eastAsia="Times New Roman" w:hAnsi="Trebuchet MS" w:cs="Times New Roman"/>
                <w:color w:val="484848"/>
                <w:sz w:val="17"/>
                <w:szCs w:val="17"/>
                <w:lang w:eastAsia="hr-HR"/>
              </w:rPr>
              <w:br/>
            </w:r>
            <w:r w:rsidRPr="00684DFD">
              <w:rPr>
                <w:rFonts w:ascii="Trebuchet MS" w:eastAsia="Times New Roman" w:hAnsi="Trebuchet MS" w:cs="Times New Roman"/>
                <w:color w:val="484848"/>
                <w:sz w:val="17"/>
                <w:szCs w:val="17"/>
                <w:lang w:eastAsia="hr-HR"/>
              </w:rPr>
              <w:br/>
              <w:t>N2, N3</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7.000,00 kn</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3.500,00 kn</w:t>
            </w:r>
          </w:p>
        </w:tc>
      </w:tr>
      <w:tr w:rsidR="00684DFD" w:rsidRPr="00684DFD" w:rsidTr="00684DFD">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O1, O2</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3.000,00 kn</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1.500,00 kn</w:t>
            </w:r>
          </w:p>
        </w:tc>
      </w:tr>
    </w:tbl>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Naknadu podnositelj zahtjeva uplaćuje u državni proračun Republike Hrvatske na temelju ispostavljenog računa od strane Zavoda.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48.</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postupku utvrđivanja sukladnosti pojedinačno pregledanog vozila naplaćuju se sljedeće naknade:</w:t>
      </w:r>
    </w:p>
    <w:p w:rsid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p>
    <w:tbl>
      <w:tblPr>
        <w:tblW w:w="0" w:type="auto"/>
        <w:tblCellSpacing w:w="0" w:type="dxa"/>
        <w:tblBorders>
          <w:top w:val="single" w:sz="48" w:space="0" w:color="C3C3C3"/>
          <w:left w:val="single" w:sz="6" w:space="0" w:color="C3C3C3"/>
          <w:bottom w:val="single" w:sz="48" w:space="0" w:color="C3C3C3"/>
          <w:right w:val="single" w:sz="6" w:space="0" w:color="C3C3C3"/>
        </w:tblBorders>
        <w:shd w:val="clear" w:color="auto" w:fill="FEFEFE"/>
        <w:tblCellMar>
          <w:left w:w="0" w:type="dxa"/>
          <w:right w:w="0" w:type="dxa"/>
        </w:tblCellMar>
        <w:tblLook w:val="04A0" w:firstRow="1" w:lastRow="0" w:firstColumn="1" w:lastColumn="0" w:noHBand="0" w:noVBand="1"/>
      </w:tblPr>
      <w:tblGrid>
        <w:gridCol w:w="999"/>
        <w:gridCol w:w="1250"/>
        <w:gridCol w:w="1240"/>
        <w:gridCol w:w="872"/>
        <w:gridCol w:w="944"/>
        <w:gridCol w:w="1070"/>
      </w:tblGrid>
      <w:tr w:rsidR="00684DFD" w:rsidRPr="00684DFD" w:rsidTr="00684DFD">
        <w:trPr>
          <w:tblCellSpacing w:w="0" w:type="dxa"/>
        </w:trPr>
        <w:tc>
          <w:tcPr>
            <w:tcW w:w="750" w:type="dxa"/>
            <w:vMerge w:val="restart"/>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Kategorija vozila</w:t>
            </w:r>
            <w:r w:rsidRPr="00684DFD">
              <w:rPr>
                <w:rFonts w:ascii="Trebuchet MS" w:eastAsia="Times New Roman" w:hAnsi="Trebuchet MS" w:cs="Times New Roman"/>
                <w:color w:val="484848"/>
                <w:sz w:val="17"/>
                <w:szCs w:val="17"/>
                <w:lang w:eastAsia="hr-HR"/>
              </w:rPr>
              <w:t> </w:t>
            </w:r>
          </w:p>
        </w:tc>
        <w:tc>
          <w:tcPr>
            <w:tcW w:w="750" w:type="dxa"/>
            <w:gridSpan w:val="5"/>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Naknada u postupku</w:t>
            </w:r>
            <w:r w:rsidRPr="00684DFD">
              <w:rPr>
                <w:rFonts w:ascii="Trebuchet MS" w:eastAsia="Times New Roman" w:hAnsi="Trebuchet MS" w:cs="Times New Roman"/>
                <w:color w:val="484848"/>
                <w:sz w:val="17"/>
                <w:szCs w:val="17"/>
                <w:lang w:eastAsia="hr-HR"/>
              </w:rPr>
              <w:t> </w:t>
            </w:r>
          </w:p>
        </w:tc>
      </w:tr>
      <w:tr w:rsidR="00684DFD" w:rsidRPr="00684DFD" w:rsidTr="00684DFD">
        <w:trPr>
          <w:tblCellSpacing w:w="0" w:type="dxa"/>
        </w:trPr>
        <w:tc>
          <w:tcPr>
            <w:tcW w:w="0" w:type="auto"/>
            <w:vMerge/>
            <w:tcBorders>
              <w:top w:val="single" w:sz="6" w:space="0" w:color="C3C3C3"/>
              <w:left w:val="single" w:sz="6" w:space="0" w:color="C3C3C3"/>
              <w:bottom w:val="single" w:sz="6" w:space="0" w:color="C3C3C3"/>
              <w:right w:val="single" w:sz="6" w:space="0" w:color="C3C3C3"/>
            </w:tcBorders>
            <w:shd w:val="clear" w:color="auto" w:fill="FEFEFE"/>
            <w:vAlign w:val="cente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evidentiranja tipa vozila</w:t>
            </w:r>
            <w:r w:rsidRPr="00684DFD">
              <w:rPr>
                <w:rFonts w:ascii="Trebuchet MS" w:eastAsia="Times New Roman" w:hAnsi="Trebuchet MS" w:cs="Times New Roman"/>
                <w:color w:val="484848"/>
                <w:sz w:val="17"/>
                <w:szCs w:val="17"/>
                <w:lang w:eastAsia="hr-HR"/>
              </w:rPr>
              <w:t> </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nacionalne homologacije tipa vozila</w:t>
            </w:r>
            <w:r w:rsidRPr="00684DFD">
              <w:rPr>
                <w:rFonts w:ascii="Trebuchet MS" w:eastAsia="Times New Roman" w:hAnsi="Trebuchet MS" w:cs="Times New Roman"/>
                <w:color w:val="484848"/>
                <w:sz w:val="17"/>
                <w:szCs w:val="17"/>
                <w:lang w:eastAsia="hr-HR"/>
              </w:rPr>
              <w:t> </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pregleda vozila</w:t>
            </w:r>
            <w:r w:rsidRPr="00684DFD">
              <w:rPr>
                <w:rFonts w:ascii="Trebuchet MS" w:eastAsia="Times New Roman" w:hAnsi="Trebuchet MS" w:cs="Times New Roman"/>
                <w:color w:val="484848"/>
                <w:sz w:val="17"/>
                <w:szCs w:val="17"/>
                <w:lang w:eastAsia="hr-HR"/>
              </w:rPr>
              <w:t> </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izdavanja dopune potvrde</w:t>
            </w:r>
            <w:r w:rsidRPr="00684DFD">
              <w:rPr>
                <w:rFonts w:ascii="Trebuchet MS" w:eastAsia="Times New Roman" w:hAnsi="Trebuchet MS" w:cs="Times New Roman"/>
                <w:color w:val="484848"/>
                <w:sz w:val="17"/>
                <w:szCs w:val="17"/>
                <w:lang w:eastAsia="hr-HR"/>
              </w:rPr>
              <w:t> </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b/>
                <w:bCs/>
                <w:color w:val="484848"/>
                <w:sz w:val="17"/>
                <w:szCs w:val="17"/>
                <w:lang w:eastAsia="hr-HR"/>
              </w:rPr>
              <w:t>provjere i upis podataka u bazu</w:t>
            </w:r>
            <w:r w:rsidRPr="00684DFD">
              <w:rPr>
                <w:rFonts w:ascii="Trebuchet MS" w:eastAsia="Times New Roman" w:hAnsi="Trebuchet MS" w:cs="Times New Roman"/>
                <w:color w:val="484848"/>
                <w:sz w:val="17"/>
                <w:szCs w:val="17"/>
                <w:lang w:eastAsia="hr-HR"/>
              </w:rPr>
              <w:t> </w:t>
            </w:r>
          </w:p>
        </w:tc>
      </w:tr>
      <w:tr w:rsidR="00684DFD" w:rsidRPr="00684DFD" w:rsidTr="00684DFD">
        <w:trPr>
          <w:tblCellSpacing w:w="0" w:type="dxa"/>
        </w:trPr>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M1, N1,</w:t>
            </w:r>
            <w:r w:rsidRPr="00684DFD">
              <w:rPr>
                <w:rFonts w:ascii="Trebuchet MS" w:eastAsia="Times New Roman" w:hAnsi="Trebuchet MS" w:cs="Times New Roman"/>
                <w:color w:val="484848"/>
                <w:sz w:val="17"/>
                <w:szCs w:val="17"/>
                <w:lang w:eastAsia="hr-HR"/>
              </w:rPr>
              <w:br/>
            </w:r>
            <w:r w:rsidRPr="00684DFD">
              <w:rPr>
                <w:rFonts w:ascii="Trebuchet MS" w:eastAsia="Times New Roman" w:hAnsi="Trebuchet MS" w:cs="Times New Roman"/>
                <w:color w:val="484848"/>
                <w:sz w:val="17"/>
                <w:szCs w:val="17"/>
                <w:lang w:eastAsia="hr-HR"/>
              </w:rPr>
              <w:br/>
              <w:t>O3, O4</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3.200,00 kn</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3.200,00 kn</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1.000,00 kn</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800,00 kn</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500,00 kn</w:t>
            </w:r>
          </w:p>
        </w:tc>
      </w:tr>
      <w:tr w:rsidR="00684DFD" w:rsidRPr="00684DFD" w:rsidTr="00684DFD">
        <w:trPr>
          <w:tblCellSpacing w:w="0" w:type="dxa"/>
        </w:trPr>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M2, M3,</w:t>
            </w:r>
            <w:r w:rsidRPr="00684DFD">
              <w:rPr>
                <w:rFonts w:ascii="Trebuchet MS" w:eastAsia="Times New Roman" w:hAnsi="Trebuchet MS" w:cs="Times New Roman"/>
                <w:color w:val="484848"/>
                <w:sz w:val="17"/>
                <w:szCs w:val="17"/>
                <w:lang w:eastAsia="hr-HR"/>
              </w:rPr>
              <w:br/>
            </w:r>
            <w:r w:rsidRPr="00684DFD">
              <w:rPr>
                <w:rFonts w:ascii="Trebuchet MS" w:eastAsia="Times New Roman" w:hAnsi="Trebuchet MS" w:cs="Times New Roman"/>
                <w:color w:val="484848"/>
                <w:sz w:val="17"/>
                <w:szCs w:val="17"/>
                <w:lang w:eastAsia="hr-HR"/>
              </w:rPr>
              <w:br/>
              <w:t>N2, N3</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4.800,00 kn</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4.800,00 kn</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1.500,00 kn</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1.200,00 kn</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1.000,00 kn</w:t>
            </w:r>
          </w:p>
        </w:tc>
      </w:tr>
      <w:tr w:rsidR="00684DFD" w:rsidRPr="00684DFD" w:rsidTr="00684DFD">
        <w:trPr>
          <w:tblCellSpacing w:w="0" w:type="dxa"/>
        </w:trPr>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O1, O2</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1.600,00 kn</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1.600,00 kn</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500,00 kn</w:t>
            </w:r>
          </w:p>
        </w:tc>
        <w:tc>
          <w:tcPr>
            <w:tcW w:w="750" w:type="dxa"/>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400,00 kn</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684DFD" w:rsidRPr="00684DFD" w:rsidRDefault="00684DFD" w:rsidP="00684DFD">
            <w:pPr>
              <w:spacing w:before="240" w:after="240" w:line="240" w:lineRule="auto"/>
              <w:rPr>
                <w:rFonts w:ascii="Trebuchet MS" w:eastAsia="Times New Roman" w:hAnsi="Trebuchet MS" w:cs="Times New Roman"/>
                <w:color w:val="484848"/>
                <w:sz w:val="17"/>
                <w:szCs w:val="17"/>
                <w:lang w:eastAsia="hr-HR"/>
              </w:rPr>
            </w:pPr>
            <w:r w:rsidRPr="00684DFD">
              <w:rPr>
                <w:rFonts w:ascii="Trebuchet MS" w:eastAsia="Times New Roman" w:hAnsi="Trebuchet MS" w:cs="Times New Roman"/>
                <w:color w:val="484848"/>
                <w:sz w:val="17"/>
                <w:szCs w:val="17"/>
                <w:lang w:eastAsia="hr-HR"/>
              </w:rPr>
              <w:t>400,00 kn</w:t>
            </w:r>
          </w:p>
        </w:tc>
      </w:tr>
    </w:tbl>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slučaju dovršenja nepotpunog vozila naknada iznosi 50 % od naknade za pojedinačno odobravanje.</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Ove naknade podnositelj zahtjeva uplaćuje neposredno ovlaštenoj pravnoj osobi.</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lastRenderedPageBreak/>
        <w:t>U iznos naknada nije uključen porez na dodanu vrijednost (PDV) te trošak mogućih ispitivanja.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49.</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Naknada za izdavanje »Potvrde proizvođača« odnosno »Tehničke specifikacije vozila« iznosi 320,00 kuna.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iznos naknade nije uključen porez na dodanu vrijednost (PDV).</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50.</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Naknada za pokriće troškova homologacije tipa zasebnih tehničkih jedinica i dijelova vozila sukladno odredbama propisa o homologaciji (EU/UNECE) iznosi 3.000,00 kn. Naknadu podnositelj zahtjeva uplaćuje u državni proračun Republike Hrvatske na temelju ispostavljenog računa od strane Zavoda.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Naknada za pokriće troškova izdavanje dopune homologacije tipa zasebnih tehničkih jedinica i dijelova vozila iznosi 750,00 kuna.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U iznos naknada iz stavka 1. i 2. ovoga članka nije uključen porez na dodanu vrijednost (PDV) te trošak mogućih ispitivanja.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51.</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Za poslove provođenja upravnog nadzora nad zakonitim provođenjem utvrđivanja sukladnosti pojedinačno pregledanog vozila i održavanje sustava, ovlaštena pravna osoba uplatit će Zavodu 15% od naplaćene naknade iz članka 48. ovoga Pravilnika.</w:t>
      </w: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IX. NADZOR</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52.</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Nadzor nad dobavljačima i ovlaštenom pravnom osobom u postupku utvrđivanja sukladnosti vozila obavlja Zavod.</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53.</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Ako Zavod utvrdi postupanje suprotno od odredaba ovoga Pravilnika, može ukinuti izdanu potvrdu, izjavu odnosno rješenje.</w:t>
      </w:r>
    </w:p>
    <w:p w:rsidR="00684DFD" w:rsidRPr="00684DFD" w:rsidRDefault="00684DFD" w:rsidP="00684DFD">
      <w:pPr>
        <w:shd w:val="clear" w:color="auto" w:fill="FFFFFF"/>
        <w:spacing w:before="75" w:after="75" w:line="240" w:lineRule="auto"/>
        <w:jc w:val="center"/>
        <w:outlineLvl w:val="2"/>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X. PRIJELAZNE I ZAVRŠNE ODREDBE</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54.</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Ovlaštenja, rješenja, potvrde i izjave koja su izdana na temelju Pravilnika o homologaciji vozila (izdanje 00) (»Narodne novine«, broj 138/11) vrijede godinu dana od dana stupanja na snagu ovoga Pravilnika odnosno do donošenja novih rješenja, potvrda i izjava.</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Pravne osobe koje na dan stupanja na snagu ovoga Pravilnika provode postupak utvrđivanja sukladnosti/homologacije vozila dužne su uskladiti svoje poslovanje s odredbama ovoga Pravilnika u roku od jedne godine od dana stupanja na snagu ovoga Pravilnika.</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55.</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Stupanjem na snagu ovog Pravilnika prestaje važiti Pravilnik o homologaciji vozila (izdanje 00) (»Narodne novine«, broj 138/11)</w:t>
      </w:r>
    </w:p>
    <w:p w:rsidR="00684DFD" w:rsidRPr="00684DFD" w:rsidRDefault="00684DFD" w:rsidP="00684DFD">
      <w:pPr>
        <w:shd w:val="clear" w:color="auto" w:fill="FFFFFF"/>
        <w:spacing w:before="30" w:after="30" w:line="240" w:lineRule="auto"/>
        <w:jc w:val="center"/>
        <w:outlineLvl w:val="3"/>
        <w:rPr>
          <w:rFonts w:ascii="Trebuchet MS" w:eastAsia="Times New Roman" w:hAnsi="Trebuchet MS" w:cs="Times New Roman"/>
          <w:b/>
          <w:bCs/>
          <w:color w:val="484848"/>
          <w:sz w:val="21"/>
          <w:szCs w:val="21"/>
          <w:lang w:eastAsia="hr-HR"/>
        </w:rPr>
      </w:pPr>
      <w:r w:rsidRPr="00684DFD">
        <w:rPr>
          <w:rFonts w:ascii="Trebuchet MS" w:eastAsia="Times New Roman" w:hAnsi="Trebuchet MS" w:cs="Times New Roman"/>
          <w:b/>
          <w:bCs/>
          <w:color w:val="484848"/>
          <w:sz w:val="21"/>
          <w:szCs w:val="21"/>
          <w:lang w:eastAsia="hr-HR"/>
        </w:rPr>
        <w:t>Članak 56.</w:t>
      </w:r>
    </w:p>
    <w:p w:rsidR="00684DFD" w:rsidRPr="00684DFD" w:rsidRDefault="00684DFD" w:rsidP="00684DFD">
      <w:pPr>
        <w:shd w:val="clear" w:color="auto" w:fill="FFFFFF"/>
        <w:spacing w:after="75" w:line="300" w:lineRule="atLeast"/>
        <w:jc w:val="both"/>
        <w:rPr>
          <w:rFonts w:ascii="Arial" w:eastAsia="Times New Roman" w:hAnsi="Arial" w:cs="Arial"/>
          <w:color w:val="484848"/>
          <w:sz w:val="20"/>
          <w:szCs w:val="20"/>
          <w:lang w:eastAsia="hr-HR"/>
        </w:rPr>
      </w:pPr>
      <w:r w:rsidRPr="00684DFD">
        <w:rPr>
          <w:rFonts w:ascii="Arial" w:eastAsia="Times New Roman" w:hAnsi="Arial" w:cs="Arial"/>
          <w:color w:val="484848"/>
          <w:sz w:val="20"/>
          <w:szCs w:val="20"/>
          <w:lang w:eastAsia="hr-HR"/>
        </w:rPr>
        <w:t>Ovaj Pravilnik stupa na snagu na dan pristupanja Republike Hrvatske u Europsku uniju</w:t>
      </w:r>
      <w:r>
        <w:rPr>
          <w:rFonts w:ascii="Arial" w:eastAsia="Times New Roman" w:hAnsi="Arial" w:cs="Arial"/>
          <w:color w:val="484848"/>
          <w:sz w:val="20"/>
          <w:szCs w:val="20"/>
          <w:lang w:eastAsia="hr-HR"/>
        </w:rPr>
        <w:t>.</w:t>
      </w:r>
    </w:p>
    <w:p w:rsidR="00684DFD" w:rsidRDefault="00684DFD" w:rsidP="00684DFD">
      <w:pPr>
        <w:pStyle w:val="Bezproreda"/>
        <w:jc w:val="center"/>
        <w:rPr>
          <w:sz w:val="24"/>
          <w:szCs w:val="24"/>
        </w:rPr>
      </w:pPr>
    </w:p>
    <w:p w:rsidR="00684DFD" w:rsidRDefault="00684DFD" w:rsidP="00684DFD">
      <w:pPr>
        <w:pStyle w:val="Bezproreda"/>
        <w:jc w:val="center"/>
        <w:rPr>
          <w:sz w:val="24"/>
          <w:szCs w:val="24"/>
        </w:rPr>
      </w:pPr>
    </w:p>
    <w:p w:rsidR="00684DFD" w:rsidRDefault="00684DFD" w:rsidP="00684DFD">
      <w:pPr>
        <w:pStyle w:val="Bezproreda"/>
        <w:jc w:val="center"/>
        <w:rPr>
          <w:rFonts w:ascii="Arial" w:hAnsi="Arial" w:cs="Arial"/>
          <w:b/>
          <w:bCs/>
          <w:color w:val="0070C0"/>
          <w:sz w:val="20"/>
          <w:szCs w:val="20"/>
          <w:shd w:val="clear" w:color="auto" w:fill="FFFFFF"/>
        </w:rPr>
      </w:pPr>
      <w:r w:rsidRPr="00182F59">
        <w:rPr>
          <w:rFonts w:ascii="Arial" w:hAnsi="Arial" w:cs="Arial"/>
          <w:b/>
          <w:bCs/>
          <w:color w:val="0070C0"/>
          <w:sz w:val="20"/>
          <w:szCs w:val="20"/>
          <w:shd w:val="clear" w:color="auto" w:fill="FFFFFF"/>
        </w:rPr>
        <w:t>ALTRERNATIVNI ZAHTJEVI ZA IDENTIFIKACIJU I OCJENU TEHNIČKOG STANJA VOZILA (ČLANAK 45.)</w:t>
      </w:r>
    </w:p>
    <w:p w:rsidR="00182F59" w:rsidRDefault="00182F59" w:rsidP="00684DFD">
      <w:pPr>
        <w:pStyle w:val="Bezproreda"/>
        <w:jc w:val="center"/>
        <w:rPr>
          <w:rFonts w:ascii="Arial" w:hAnsi="Arial" w:cs="Arial"/>
          <w:b/>
          <w:bCs/>
          <w:color w:val="0070C0"/>
          <w:sz w:val="20"/>
          <w:szCs w:val="20"/>
          <w:shd w:val="clear" w:color="auto" w:fill="FFFFFF"/>
        </w:rPr>
      </w:pPr>
    </w:p>
    <w:tbl>
      <w:tblPr>
        <w:tblW w:w="0" w:type="auto"/>
        <w:tblCellSpacing w:w="0" w:type="dxa"/>
        <w:tblBorders>
          <w:top w:val="single" w:sz="48" w:space="0" w:color="C3C3C3"/>
          <w:left w:val="single" w:sz="6" w:space="0" w:color="C3C3C3"/>
          <w:bottom w:val="single" w:sz="48" w:space="0" w:color="C3C3C3"/>
          <w:right w:val="single" w:sz="6" w:space="0" w:color="C3C3C3"/>
        </w:tblBorders>
        <w:shd w:val="clear" w:color="auto" w:fill="FEFEFE"/>
        <w:tblCellMar>
          <w:left w:w="0" w:type="dxa"/>
          <w:right w:w="0" w:type="dxa"/>
        </w:tblCellMar>
        <w:tblLook w:val="04A0" w:firstRow="1" w:lastRow="0" w:firstColumn="1" w:lastColumn="0" w:noHBand="0" w:noVBand="1"/>
      </w:tblPr>
      <w:tblGrid>
        <w:gridCol w:w="3150"/>
        <w:gridCol w:w="1176"/>
        <w:gridCol w:w="480"/>
        <w:gridCol w:w="480"/>
        <w:gridCol w:w="480"/>
        <w:gridCol w:w="466"/>
        <w:gridCol w:w="466"/>
        <w:gridCol w:w="466"/>
        <w:gridCol w:w="473"/>
        <w:gridCol w:w="473"/>
        <w:gridCol w:w="473"/>
        <w:gridCol w:w="473"/>
      </w:tblGrid>
      <w:tr w:rsidR="00182F59" w:rsidRPr="00182F59" w:rsidTr="00182F59">
        <w:trPr>
          <w:tblCellSpacing w:w="0" w:type="dxa"/>
        </w:trPr>
        <w:tc>
          <w:tcPr>
            <w:tcW w:w="0" w:type="auto"/>
            <w:vMerge w:val="restart"/>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lastRenderedPageBreak/>
              <w:t>Predmet homologacije</w:t>
            </w:r>
          </w:p>
        </w:tc>
        <w:tc>
          <w:tcPr>
            <w:tcW w:w="0" w:type="auto"/>
            <w:vMerge w:val="restart"/>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Pravilnik</w:t>
            </w:r>
          </w:p>
        </w:tc>
        <w:tc>
          <w:tcPr>
            <w:tcW w:w="0" w:type="auto"/>
            <w:gridSpan w:val="10"/>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Primjenjuje se za kategoriju vozila</w:t>
            </w:r>
          </w:p>
        </w:tc>
      </w:tr>
      <w:tr w:rsidR="00182F59" w:rsidRPr="00182F59" w:rsidTr="00182F59">
        <w:trPr>
          <w:tblCellSpacing w:w="0" w:type="dxa"/>
        </w:trPr>
        <w:tc>
          <w:tcPr>
            <w:tcW w:w="0" w:type="auto"/>
            <w:vMerge/>
            <w:tcBorders>
              <w:top w:val="single" w:sz="6" w:space="0" w:color="C3C3C3"/>
              <w:left w:val="single" w:sz="6" w:space="0" w:color="C3C3C3"/>
              <w:bottom w:val="single" w:sz="6" w:space="0" w:color="C3C3C3"/>
              <w:right w:val="single" w:sz="6" w:space="0" w:color="C3C3C3"/>
            </w:tcBorders>
            <w:shd w:val="clear" w:color="auto" w:fill="FEFEFE"/>
            <w:vAlign w:val="cente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p>
        </w:tc>
        <w:tc>
          <w:tcPr>
            <w:tcW w:w="0" w:type="auto"/>
            <w:vMerge/>
            <w:tcBorders>
              <w:top w:val="single" w:sz="6" w:space="0" w:color="C3C3C3"/>
              <w:left w:val="single" w:sz="6" w:space="0" w:color="C3C3C3"/>
              <w:bottom w:val="single" w:sz="6" w:space="0" w:color="C3C3C3"/>
              <w:right w:val="single" w:sz="6" w:space="0" w:color="C3C3C3"/>
            </w:tcBorders>
            <w:shd w:val="clear" w:color="auto" w:fill="FEFEFE"/>
            <w:vAlign w:val="cente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M</w:t>
            </w:r>
            <w:r w:rsidRPr="00182F59">
              <w:rPr>
                <w:rFonts w:ascii="Trebuchet MS" w:eastAsia="Times New Roman" w:hAnsi="Trebuchet MS" w:cs="Times New Roman"/>
                <w:color w:val="0070C0"/>
                <w:sz w:val="17"/>
                <w:szCs w:val="17"/>
                <w:vertAlign w:val="subscript"/>
                <w:lang w:eastAsia="hr-HR"/>
              </w:rPr>
              <w:t>1</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M</w:t>
            </w:r>
            <w:r w:rsidRPr="00182F59">
              <w:rPr>
                <w:rFonts w:ascii="Trebuchet MS" w:eastAsia="Times New Roman" w:hAnsi="Trebuchet MS" w:cs="Times New Roman"/>
                <w:color w:val="0070C0"/>
                <w:sz w:val="17"/>
                <w:szCs w:val="17"/>
                <w:vertAlign w:val="subscript"/>
                <w:lang w:eastAsia="hr-HR"/>
              </w:rPr>
              <w:t>2</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M</w:t>
            </w:r>
            <w:r w:rsidRPr="00182F59">
              <w:rPr>
                <w:rFonts w:ascii="Trebuchet MS" w:eastAsia="Times New Roman" w:hAnsi="Trebuchet MS" w:cs="Times New Roman"/>
                <w:color w:val="0070C0"/>
                <w:sz w:val="17"/>
                <w:szCs w:val="17"/>
                <w:vertAlign w:val="subscript"/>
                <w:lang w:eastAsia="hr-HR"/>
              </w:rPr>
              <w:t>3</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N</w:t>
            </w:r>
            <w:r w:rsidRPr="00182F59">
              <w:rPr>
                <w:rFonts w:ascii="Trebuchet MS" w:eastAsia="Times New Roman" w:hAnsi="Trebuchet MS" w:cs="Times New Roman"/>
                <w:color w:val="0070C0"/>
                <w:sz w:val="17"/>
                <w:szCs w:val="17"/>
                <w:vertAlign w:val="subscript"/>
                <w:lang w:eastAsia="hr-HR"/>
              </w:rPr>
              <w:t>1</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N</w:t>
            </w:r>
            <w:r w:rsidRPr="00182F59">
              <w:rPr>
                <w:rFonts w:ascii="Trebuchet MS" w:eastAsia="Times New Roman" w:hAnsi="Trebuchet MS" w:cs="Times New Roman"/>
                <w:color w:val="0070C0"/>
                <w:sz w:val="17"/>
                <w:szCs w:val="17"/>
                <w:vertAlign w:val="subscript"/>
                <w:lang w:eastAsia="hr-HR"/>
              </w:rPr>
              <w:t>2</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N</w:t>
            </w:r>
            <w:r w:rsidRPr="00182F59">
              <w:rPr>
                <w:rFonts w:ascii="Trebuchet MS" w:eastAsia="Times New Roman" w:hAnsi="Trebuchet MS" w:cs="Times New Roman"/>
                <w:color w:val="0070C0"/>
                <w:sz w:val="17"/>
                <w:szCs w:val="17"/>
                <w:vertAlign w:val="subscript"/>
                <w:lang w:eastAsia="hr-HR"/>
              </w:rPr>
              <w:t>3</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O</w:t>
            </w:r>
            <w:r w:rsidRPr="00182F59">
              <w:rPr>
                <w:rFonts w:ascii="Trebuchet MS" w:eastAsia="Times New Roman" w:hAnsi="Trebuchet MS" w:cs="Times New Roman"/>
                <w:color w:val="0070C0"/>
                <w:sz w:val="17"/>
                <w:szCs w:val="17"/>
                <w:vertAlign w:val="subscript"/>
                <w:lang w:eastAsia="hr-HR"/>
              </w:rPr>
              <w:t>1</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O</w:t>
            </w:r>
            <w:r w:rsidRPr="00182F59">
              <w:rPr>
                <w:rFonts w:ascii="Trebuchet MS" w:eastAsia="Times New Roman" w:hAnsi="Trebuchet MS" w:cs="Times New Roman"/>
                <w:color w:val="0070C0"/>
                <w:sz w:val="17"/>
                <w:szCs w:val="17"/>
                <w:vertAlign w:val="subscript"/>
                <w:lang w:eastAsia="hr-HR"/>
              </w:rPr>
              <w:t>2</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O</w:t>
            </w:r>
            <w:r w:rsidRPr="00182F59">
              <w:rPr>
                <w:rFonts w:ascii="Trebuchet MS" w:eastAsia="Times New Roman" w:hAnsi="Trebuchet MS" w:cs="Times New Roman"/>
                <w:color w:val="0070C0"/>
                <w:sz w:val="17"/>
                <w:szCs w:val="17"/>
                <w:vertAlign w:val="subscript"/>
                <w:lang w:eastAsia="hr-HR"/>
              </w:rPr>
              <w:t>3</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O</w:t>
            </w:r>
            <w:r w:rsidRPr="00182F59">
              <w:rPr>
                <w:rFonts w:ascii="Trebuchet MS" w:eastAsia="Times New Roman" w:hAnsi="Trebuchet MS" w:cs="Times New Roman"/>
                <w:color w:val="0070C0"/>
                <w:sz w:val="17"/>
                <w:szCs w:val="17"/>
                <w:vertAlign w:val="subscript"/>
                <w:lang w:eastAsia="hr-HR"/>
              </w:rPr>
              <w:t>4</w:t>
            </w:r>
            <w:r w:rsidRPr="00182F59">
              <w:rPr>
                <w:rFonts w:ascii="Trebuchet MS" w:eastAsia="Times New Roman" w:hAnsi="Trebuchet MS" w:cs="Times New Roman"/>
                <w:color w:val="0070C0"/>
                <w:sz w:val="17"/>
                <w:szCs w:val="17"/>
                <w:lang w:eastAsia="hr-HR"/>
              </w:rPr>
              <w:t> </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1. Razina buke</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101</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2. Emisije</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102</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3. Zaštita od stražnjeg podlijetanja</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103</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5. Uređaj za upravljanje</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105</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7. Zvučno upozorni uređaji</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107</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8. Retrovizori</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108</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9. Kočenje</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109</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17. Brzinomjer</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117</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20. Ugradba uređaja za osvjetljavanje/signalizaciju</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120</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31. Sigurnosni pojasevi</w:t>
            </w:r>
            <w:r w:rsidRPr="00182F59">
              <w:rPr>
                <w:rFonts w:ascii="Trebuchet MS" w:eastAsia="Times New Roman" w:hAnsi="Trebuchet MS" w:cs="Times New Roman"/>
                <w:color w:val="0070C0"/>
                <w:sz w:val="17"/>
                <w:szCs w:val="17"/>
                <w:vertAlign w:val="superscript"/>
                <w:lang w:eastAsia="hr-HR"/>
              </w:rPr>
              <w:t>(1)</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131</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35. Naprave za brisanje i pranje</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135</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39. Emisija CO</w:t>
            </w:r>
            <w:r w:rsidRPr="00182F59">
              <w:rPr>
                <w:rFonts w:ascii="Trebuchet MS" w:eastAsia="Times New Roman" w:hAnsi="Trebuchet MS" w:cs="Times New Roman"/>
                <w:color w:val="0070C0"/>
                <w:sz w:val="17"/>
                <w:szCs w:val="17"/>
                <w:vertAlign w:val="subscript"/>
                <w:lang w:eastAsia="hr-HR"/>
              </w:rPr>
              <w:t>2</w:t>
            </w:r>
            <w:r w:rsidRPr="00182F59">
              <w:rPr>
                <w:rFonts w:ascii="Trebuchet MS" w:eastAsia="Times New Roman" w:hAnsi="Trebuchet MS" w:cs="Times New Roman"/>
                <w:color w:val="0070C0"/>
                <w:sz w:val="17"/>
                <w:szCs w:val="17"/>
                <w:vertAlign w:val="superscript"/>
                <w:lang w:eastAsia="hr-HR"/>
              </w:rPr>
              <w:t>(2)</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139</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40. Snaga motora</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140</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41. Emisija, teška vozila</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141</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42. Bočna zaštita</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142</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lastRenderedPageBreak/>
              <w:t>43. Zaštita od prskanja ispod kotača</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143</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Y</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44. Mase i dimenzije</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144</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45. Sigurnosna stakla</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145</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46. Gume</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146</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48. Mase i dimenzije</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148</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D</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50. Vučne spojnice </w:t>
            </w:r>
            <w:r w:rsidRPr="00182F59">
              <w:rPr>
                <w:rFonts w:ascii="Trebuchet MS" w:eastAsia="Times New Roman" w:hAnsi="Trebuchet MS" w:cs="Times New Roman"/>
                <w:color w:val="0070C0"/>
                <w:sz w:val="17"/>
                <w:szCs w:val="17"/>
                <w:vertAlign w:val="superscript"/>
                <w:lang w:eastAsia="hr-HR"/>
              </w:rPr>
              <w:t>(3)</w:t>
            </w:r>
            <w:r w:rsidRPr="00182F59">
              <w:rPr>
                <w:rFonts w:ascii="Trebuchet MS" w:eastAsia="Times New Roman" w:hAnsi="Trebuchet MS" w:cs="Times New Roman"/>
                <w:color w:val="0070C0"/>
                <w:sz w:val="17"/>
                <w:szCs w:val="17"/>
                <w:lang w:eastAsia="hr-HR"/>
              </w:rPr>
              <w:t> </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150</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X</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52. Autobusi</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TPV 152</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C</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C</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 </w:t>
            </w:r>
          </w:p>
        </w:tc>
      </w:tr>
      <w:tr w:rsidR="00182F59" w:rsidRPr="00182F59" w:rsidTr="00182F59">
        <w:trPr>
          <w:tblCellSpacing w:w="0" w:type="dxa"/>
        </w:trPr>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Vozila s pogonom na UNP/PP</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UN/ECE R 67/R110</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C</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C</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C</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C</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C</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C</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c>
          <w:tcPr>
            <w:tcW w:w="0" w:type="auto"/>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w:t>
            </w:r>
          </w:p>
        </w:tc>
      </w:tr>
      <w:tr w:rsidR="00182F59" w:rsidRPr="00182F59" w:rsidTr="00182F59">
        <w:trPr>
          <w:tblCellSpacing w:w="0" w:type="dxa"/>
        </w:trPr>
        <w:tc>
          <w:tcPr>
            <w:tcW w:w="0" w:type="auto"/>
            <w:gridSpan w:val="12"/>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vertAlign w:val="superscript"/>
                <w:lang w:eastAsia="hr-HR"/>
              </w:rPr>
              <w:t>(1)</w:t>
            </w:r>
            <w:r w:rsidRPr="00182F59">
              <w:rPr>
                <w:rFonts w:ascii="Trebuchet MS" w:eastAsia="Times New Roman" w:hAnsi="Trebuchet MS" w:cs="Times New Roman"/>
                <w:color w:val="0070C0"/>
                <w:sz w:val="17"/>
                <w:szCs w:val="17"/>
                <w:lang w:eastAsia="hr-HR"/>
              </w:rPr>
              <w:t> primjenjuje se samo ako su ugrađena sidrišta</w:t>
            </w:r>
            <w:r w:rsidRPr="00182F59">
              <w:rPr>
                <w:rFonts w:ascii="Trebuchet MS" w:eastAsia="Times New Roman" w:hAnsi="Trebuchet MS" w:cs="Times New Roman"/>
                <w:color w:val="0070C0"/>
                <w:sz w:val="17"/>
                <w:szCs w:val="17"/>
                <w:lang w:eastAsia="hr-HR"/>
              </w:rPr>
              <w:br/>
            </w:r>
            <w:r w:rsidRPr="00182F59">
              <w:rPr>
                <w:rFonts w:ascii="Trebuchet MS" w:eastAsia="Times New Roman" w:hAnsi="Trebuchet MS" w:cs="Times New Roman"/>
                <w:color w:val="0070C0"/>
                <w:sz w:val="17"/>
                <w:szCs w:val="17"/>
                <w:lang w:eastAsia="hr-HR"/>
              </w:rPr>
              <w:br/>
            </w:r>
            <w:r w:rsidRPr="00182F59">
              <w:rPr>
                <w:rFonts w:ascii="Trebuchet MS" w:eastAsia="Times New Roman" w:hAnsi="Trebuchet MS" w:cs="Times New Roman"/>
                <w:color w:val="0070C0"/>
                <w:sz w:val="17"/>
                <w:szCs w:val="17"/>
                <w:vertAlign w:val="superscript"/>
                <w:lang w:eastAsia="hr-HR"/>
              </w:rPr>
              <w:t>(2)</w:t>
            </w:r>
            <w:r w:rsidRPr="00182F59">
              <w:rPr>
                <w:rFonts w:ascii="Trebuchet MS" w:eastAsia="Times New Roman" w:hAnsi="Trebuchet MS" w:cs="Times New Roman"/>
                <w:color w:val="0070C0"/>
                <w:sz w:val="17"/>
                <w:szCs w:val="17"/>
                <w:lang w:eastAsia="hr-HR"/>
              </w:rPr>
              <w:t> ako podatak nije dostupan određuje se računski sukladno Uredbi EU 183/2011 kojom je izmijenjen Prilog IV Direktive 2007/46/EZ</w:t>
            </w:r>
            <w:r w:rsidRPr="00182F59">
              <w:rPr>
                <w:rFonts w:ascii="Trebuchet MS" w:eastAsia="Times New Roman" w:hAnsi="Trebuchet MS" w:cs="Times New Roman"/>
                <w:color w:val="0070C0"/>
                <w:sz w:val="17"/>
                <w:szCs w:val="17"/>
                <w:lang w:eastAsia="hr-HR"/>
              </w:rPr>
              <w:br/>
            </w:r>
            <w:r w:rsidRPr="00182F59">
              <w:rPr>
                <w:rFonts w:ascii="Trebuchet MS" w:eastAsia="Times New Roman" w:hAnsi="Trebuchet MS" w:cs="Times New Roman"/>
                <w:color w:val="0070C0"/>
                <w:sz w:val="17"/>
                <w:szCs w:val="17"/>
                <w:lang w:eastAsia="hr-HR"/>
              </w:rPr>
              <w:br/>
            </w:r>
            <w:r w:rsidRPr="00182F59">
              <w:rPr>
                <w:rFonts w:ascii="Trebuchet MS" w:eastAsia="Times New Roman" w:hAnsi="Trebuchet MS" w:cs="Times New Roman"/>
                <w:color w:val="0070C0"/>
                <w:sz w:val="17"/>
                <w:szCs w:val="17"/>
                <w:vertAlign w:val="superscript"/>
                <w:lang w:eastAsia="hr-HR"/>
              </w:rPr>
              <w:t>(3)</w:t>
            </w:r>
            <w:r w:rsidRPr="00182F59">
              <w:rPr>
                <w:rFonts w:ascii="Trebuchet MS" w:eastAsia="Times New Roman" w:hAnsi="Trebuchet MS" w:cs="Times New Roman"/>
                <w:color w:val="0070C0"/>
                <w:sz w:val="17"/>
                <w:szCs w:val="17"/>
                <w:lang w:eastAsia="hr-HR"/>
              </w:rPr>
              <w:t> samo ako je ugrađena spojnica</w:t>
            </w:r>
          </w:p>
        </w:tc>
      </w:tr>
      <w:tr w:rsidR="00182F59" w:rsidRPr="00182F59" w:rsidTr="00182F59">
        <w:trPr>
          <w:tblCellSpacing w:w="0" w:type="dxa"/>
        </w:trPr>
        <w:tc>
          <w:tcPr>
            <w:tcW w:w="0" w:type="auto"/>
            <w:gridSpan w:val="12"/>
            <w:tcBorders>
              <w:top w:val="single" w:sz="6" w:space="0" w:color="C3C3C3"/>
              <w:left w:val="single" w:sz="6" w:space="0" w:color="C3C3C3"/>
              <w:bottom w:val="single" w:sz="6" w:space="0" w:color="C3C3C3"/>
              <w:right w:val="single" w:sz="6" w:space="0" w:color="C3C3C3"/>
            </w:tcBorders>
            <w:shd w:val="clear" w:color="auto" w:fill="FEFEFE"/>
            <w:tcMar>
              <w:top w:w="30" w:type="dxa"/>
              <w:left w:w="75" w:type="dxa"/>
              <w:bottom w:w="30" w:type="dxa"/>
              <w:right w:w="75" w:type="dxa"/>
            </w:tcMar>
            <w:hideMark/>
          </w:tcPr>
          <w:p w:rsidR="00182F59" w:rsidRPr="00182F59" w:rsidRDefault="00182F59" w:rsidP="00182F59">
            <w:pPr>
              <w:spacing w:before="240" w:after="240" w:line="240" w:lineRule="auto"/>
              <w:rPr>
                <w:rFonts w:ascii="Trebuchet MS" w:eastAsia="Times New Roman" w:hAnsi="Trebuchet MS" w:cs="Times New Roman"/>
                <w:color w:val="0070C0"/>
                <w:sz w:val="17"/>
                <w:szCs w:val="17"/>
                <w:lang w:eastAsia="hr-HR"/>
              </w:rPr>
            </w:pPr>
            <w:r w:rsidRPr="00182F59">
              <w:rPr>
                <w:rFonts w:ascii="Trebuchet MS" w:eastAsia="Times New Roman" w:hAnsi="Trebuchet MS" w:cs="Times New Roman"/>
                <w:color w:val="0070C0"/>
                <w:sz w:val="17"/>
                <w:szCs w:val="17"/>
                <w:lang w:eastAsia="hr-HR"/>
              </w:rPr>
              <w:t>Obaveza ispunjavanja određenih zahtjeva i način dokazivanja označeni su sljedećim simbolima:</w:t>
            </w:r>
            <w:r w:rsidRPr="00182F59">
              <w:rPr>
                <w:rFonts w:ascii="Trebuchet MS" w:eastAsia="Times New Roman" w:hAnsi="Trebuchet MS" w:cs="Times New Roman"/>
                <w:color w:val="0070C0"/>
                <w:sz w:val="17"/>
                <w:szCs w:val="17"/>
                <w:lang w:eastAsia="hr-HR"/>
              </w:rPr>
              <w:br/>
            </w:r>
            <w:r w:rsidRPr="00182F59">
              <w:rPr>
                <w:rFonts w:ascii="Trebuchet MS" w:eastAsia="Times New Roman" w:hAnsi="Trebuchet MS" w:cs="Times New Roman"/>
                <w:color w:val="0070C0"/>
                <w:sz w:val="17"/>
                <w:szCs w:val="17"/>
                <w:lang w:eastAsia="hr-HR"/>
              </w:rPr>
              <w:br/>
              <w:t>C: moraju biti ispunjeni bitni zahtjevi posebnog pravilnika TPV koja odredi Zavod. Ispunjavanje zahtjeva u dokazuje se COC dokumentom, potvrdom proizvođača, registracijskim dokumentom i potvrdom o ispitivanju ili, po potrebi, kombinacijom tih dokumenata. Po potrebi, ispunjavanje zahtjeva može se dokazati i ispitivanjem koje obavlja ovlaštena pravna osoba koja obavlja funkciju tehničke službe.</w:t>
            </w:r>
            <w:r w:rsidRPr="00182F59">
              <w:rPr>
                <w:rFonts w:ascii="Trebuchet MS" w:eastAsia="Times New Roman" w:hAnsi="Trebuchet MS" w:cs="Times New Roman"/>
                <w:color w:val="0070C0"/>
                <w:sz w:val="17"/>
                <w:szCs w:val="17"/>
                <w:lang w:eastAsia="hr-HR"/>
              </w:rPr>
              <w:br/>
            </w:r>
            <w:r w:rsidRPr="00182F59">
              <w:rPr>
                <w:rFonts w:ascii="Trebuchet MS" w:eastAsia="Times New Roman" w:hAnsi="Trebuchet MS" w:cs="Times New Roman"/>
                <w:color w:val="0070C0"/>
                <w:sz w:val="17"/>
                <w:szCs w:val="17"/>
                <w:lang w:eastAsia="hr-HR"/>
              </w:rPr>
              <w:br/>
              <w:t>D: tehnički odnosno homologacijski podaci utvrđuju se iz registracijskog dokumenta i ostale pripadajuće dokumentacije ili provjerom na vozilu.</w:t>
            </w:r>
            <w:r w:rsidRPr="00182F59">
              <w:rPr>
                <w:rFonts w:ascii="Trebuchet MS" w:eastAsia="Times New Roman" w:hAnsi="Trebuchet MS" w:cs="Times New Roman"/>
                <w:color w:val="0070C0"/>
                <w:sz w:val="17"/>
                <w:szCs w:val="17"/>
                <w:lang w:eastAsia="hr-HR"/>
              </w:rPr>
              <w:br/>
            </w:r>
            <w:r w:rsidRPr="00182F59">
              <w:rPr>
                <w:rFonts w:ascii="Trebuchet MS" w:eastAsia="Times New Roman" w:hAnsi="Trebuchet MS" w:cs="Times New Roman"/>
                <w:color w:val="0070C0"/>
                <w:sz w:val="17"/>
                <w:szCs w:val="17"/>
                <w:lang w:eastAsia="hr-HR"/>
              </w:rPr>
              <w:br/>
              <w:t>X: moraju biti ispunjeni zahtjevi posebnog pravilnika TPV, a ispunjavanje zahtjeva dokazuje se homologacijskim oznakama na sastavnim dijelovima i zasebnim tehničkim jedinicama.</w:t>
            </w:r>
          </w:p>
        </w:tc>
      </w:tr>
    </w:tbl>
    <w:p w:rsidR="00182F59" w:rsidRPr="00182F59" w:rsidRDefault="00182F59" w:rsidP="00684DFD">
      <w:pPr>
        <w:pStyle w:val="Bezproreda"/>
        <w:jc w:val="center"/>
        <w:rPr>
          <w:rFonts w:ascii="Arial" w:hAnsi="Arial" w:cs="Arial"/>
          <w:b/>
          <w:bCs/>
          <w:color w:val="0070C0"/>
          <w:sz w:val="20"/>
          <w:szCs w:val="20"/>
          <w:shd w:val="clear" w:color="auto" w:fill="FFFFFF"/>
        </w:rPr>
      </w:pPr>
    </w:p>
    <w:p w:rsidR="00182F59" w:rsidRPr="00182F59" w:rsidRDefault="00182F59" w:rsidP="00182F59">
      <w:pPr>
        <w:pBdr>
          <w:bottom w:val="single" w:sz="6" w:space="1" w:color="auto"/>
        </w:pBdr>
        <w:spacing w:after="0" w:line="240" w:lineRule="auto"/>
        <w:jc w:val="center"/>
        <w:rPr>
          <w:rFonts w:ascii="Arial" w:eastAsia="Times New Roman" w:hAnsi="Arial" w:cs="Arial"/>
          <w:vanish/>
          <w:sz w:val="16"/>
          <w:szCs w:val="16"/>
          <w:lang w:eastAsia="hr-HR"/>
        </w:rPr>
      </w:pPr>
      <w:r w:rsidRPr="00182F59">
        <w:rPr>
          <w:rFonts w:ascii="Arial" w:eastAsia="Times New Roman" w:hAnsi="Arial" w:cs="Arial"/>
          <w:vanish/>
          <w:sz w:val="16"/>
          <w:szCs w:val="16"/>
          <w:lang w:eastAsia="hr-HR"/>
        </w:rPr>
        <w:t>Vrh obrasca</w:t>
      </w:r>
    </w:p>
    <w:sectPr w:rsidR="00182F59" w:rsidRPr="00182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182F59"/>
    <w:rsid w:val="00496C98"/>
    <w:rsid w:val="00684DFD"/>
    <w:rsid w:val="007E457E"/>
    <w:rsid w:val="00CF664B"/>
    <w:rsid w:val="00F33D40"/>
    <w:rsid w:val="00F535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DDE3"/>
  <w15:chartTrackingRefBased/>
  <w15:docId w15:val="{10BBA6C5-B82E-46EB-B9C6-22BD4855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qFormat/>
    <w:rsid w:val="00684DF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684DFD"/>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84DFD"/>
    <w:pPr>
      <w:spacing w:after="0" w:line="240" w:lineRule="auto"/>
    </w:pPr>
  </w:style>
  <w:style w:type="character" w:customStyle="1" w:styleId="Naslov3Char">
    <w:name w:val="Naslov 3 Char"/>
    <w:basedOn w:val="Zadanifontodlomka"/>
    <w:link w:val="Naslov3"/>
    <w:uiPriority w:val="9"/>
    <w:rsid w:val="00684DFD"/>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684DFD"/>
    <w:rPr>
      <w:rFonts w:ascii="Times New Roman" w:eastAsia="Times New Roman" w:hAnsi="Times New Roman" w:cs="Times New Roman"/>
      <w:b/>
      <w:bCs/>
      <w:sz w:val="24"/>
      <w:szCs w:val="24"/>
      <w:lang w:eastAsia="hr-HR"/>
    </w:rPr>
  </w:style>
  <w:style w:type="paragraph" w:customStyle="1" w:styleId="docplain">
    <w:name w:val="doc_plain"/>
    <w:basedOn w:val="Normal"/>
    <w:rsid w:val="00684DF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oc">
    <w:name w:val="doc"/>
    <w:basedOn w:val="Normal"/>
    <w:rsid w:val="00684DF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vrhobrasca">
    <w:name w:val="HTML Top of Form"/>
    <w:basedOn w:val="Normal"/>
    <w:next w:val="Normal"/>
    <w:link w:val="z-vrhobrascaChar"/>
    <w:hidden/>
    <w:uiPriority w:val="99"/>
    <w:semiHidden/>
    <w:unhideWhenUsed/>
    <w:rsid w:val="00182F59"/>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182F59"/>
    <w:rPr>
      <w:rFonts w:ascii="Arial" w:eastAsia="Times New Roman" w:hAnsi="Arial" w:cs="Arial"/>
      <w:vanish/>
      <w:sz w:val="16"/>
      <w:szCs w:val="16"/>
      <w:lang w:eastAsia="hr-HR"/>
    </w:rPr>
  </w:style>
  <w:style w:type="paragraph" w:customStyle="1" w:styleId="kazalonaslov">
    <w:name w:val="kazalo_naslov"/>
    <w:basedOn w:val="Normal"/>
    <w:rsid w:val="00182F5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rightcoloverheading">
    <w:name w:val="rightcol_overheading"/>
    <w:basedOn w:val="Normal"/>
    <w:rsid w:val="00182F5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182F59"/>
    <w:rPr>
      <w:color w:val="0000FF"/>
      <w:u w:val="single"/>
    </w:rPr>
  </w:style>
  <w:style w:type="paragraph" w:customStyle="1" w:styleId="rightcolppodrocje">
    <w:name w:val="rightcol_p_podrocje"/>
    <w:basedOn w:val="Normal"/>
    <w:rsid w:val="00182F5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182F5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dnoobrasca">
    <w:name w:val="HTML Bottom of Form"/>
    <w:basedOn w:val="Normal"/>
    <w:next w:val="Normal"/>
    <w:link w:val="z-dnoobrascaChar"/>
    <w:hidden/>
    <w:uiPriority w:val="99"/>
    <w:semiHidden/>
    <w:unhideWhenUsed/>
    <w:rsid w:val="00182F59"/>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182F59"/>
    <w:rPr>
      <w:rFonts w:ascii="Arial" w:eastAsia="Times New Roman" w:hAnsi="Arial" w:cs="Arial"/>
      <w:vanish/>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7620">
      <w:bodyDiv w:val="1"/>
      <w:marLeft w:val="0"/>
      <w:marRight w:val="0"/>
      <w:marTop w:val="0"/>
      <w:marBottom w:val="0"/>
      <w:divBdr>
        <w:top w:val="none" w:sz="0" w:space="0" w:color="auto"/>
        <w:left w:val="none" w:sz="0" w:space="0" w:color="auto"/>
        <w:bottom w:val="none" w:sz="0" w:space="0" w:color="auto"/>
        <w:right w:val="none" w:sz="0" w:space="0" w:color="auto"/>
      </w:divBdr>
    </w:div>
    <w:div w:id="288513978">
      <w:bodyDiv w:val="1"/>
      <w:marLeft w:val="0"/>
      <w:marRight w:val="0"/>
      <w:marTop w:val="0"/>
      <w:marBottom w:val="0"/>
      <w:divBdr>
        <w:top w:val="none" w:sz="0" w:space="0" w:color="auto"/>
        <w:left w:val="none" w:sz="0" w:space="0" w:color="auto"/>
        <w:bottom w:val="none" w:sz="0" w:space="0" w:color="auto"/>
        <w:right w:val="none" w:sz="0" w:space="0" w:color="auto"/>
      </w:divBdr>
    </w:div>
    <w:div w:id="312031663">
      <w:bodyDiv w:val="1"/>
      <w:marLeft w:val="0"/>
      <w:marRight w:val="0"/>
      <w:marTop w:val="0"/>
      <w:marBottom w:val="0"/>
      <w:divBdr>
        <w:top w:val="none" w:sz="0" w:space="0" w:color="auto"/>
        <w:left w:val="none" w:sz="0" w:space="0" w:color="auto"/>
        <w:bottom w:val="none" w:sz="0" w:space="0" w:color="auto"/>
        <w:right w:val="none" w:sz="0" w:space="0" w:color="auto"/>
      </w:divBdr>
      <w:divsChild>
        <w:div w:id="2050376325">
          <w:marLeft w:val="300"/>
          <w:marRight w:val="300"/>
          <w:marTop w:val="0"/>
          <w:marBottom w:val="0"/>
          <w:divBdr>
            <w:top w:val="none" w:sz="0" w:space="0" w:color="auto"/>
            <w:left w:val="none" w:sz="0" w:space="0" w:color="auto"/>
            <w:bottom w:val="none" w:sz="0" w:space="0" w:color="auto"/>
            <w:right w:val="none" w:sz="0" w:space="0" w:color="auto"/>
          </w:divBdr>
        </w:div>
      </w:divsChild>
    </w:div>
    <w:div w:id="391539231">
      <w:bodyDiv w:val="1"/>
      <w:marLeft w:val="0"/>
      <w:marRight w:val="0"/>
      <w:marTop w:val="0"/>
      <w:marBottom w:val="0"/>
      <w:divBdr>
        <w:top w:val="none" w:sz="0" w:space="0" w:color="auto"/>
        <w:left w:val="none" w:sz="0" w:space="0" w:color="auto"/>
        <w:bottom w:val="none" w:sz="0" w:space="0" w:color="auto"/>
        <w:right w:val="none" w:sz="0" w:space="0" w:color="auto"/>
      </w:divBdr>
      <w:divsChild>
        <w:div w:id="455686717">
          <w:marLeft w:val="0"/>
          <w:marRight w:val="0"/>
          <w:marTop w:val="0"/>
          <w:marBottom w:val="0"/>
          <w:divBdr>
            <w:top w:val="none" w:sz="0" w:space="0" w:color="auto"/>
            <w:left w:val="none" w:sz="0" w:space="0" w:color="auto"/>
            <w:bottom w:val="none" w:sz="0" w:space="0" w:color="auto"/>
            <w:right w:val="none" w:sz="0" w:space="0" w:color="auto"/>
          </w:divBdr>
          <w:divsChild>
            <w:div w:id="1375959615">
              <w:marLeft w:val="0"/>
              <w:marRight w:val="0"/>
              <w:marTop w:val="0"/>
              <w:marBottom w:val="0"/>
              <w:divBdr>
                <w:top w:val="none" w:sz="0" w:space="0" w:color="auto"/>
                <w:left w:val="none" w:sz="0" w:space="0" w:color="auto"/>
                <w:bottom w:val="none" w:sz="0" w:space="0" w:color="auto"/>
                <w:right w:val="none" w:sz="0" w:space="0" w:color="auto"/>
              </w:divBdr>
              <w:divsChild>
                <w:div w:id="1253121195">
                  <w:marLeft w:val="0"/>
                  <w:marRight w:val="0"/>
                  <w:marTop w:val="0"/>
                  <w:marBottom w:val="0"/>
                  <w:divBdr>
                    <w:top w:val="double" w:sz="6" w:space="2" w:color="000000"/>
                    <w:left w:val="double" w:sz="6" w:space="2" w:color="000000"/>
                    <w:bottom w:val="double" w:sz="6" w:space="2" w:color="000000"/>
                    <w:right w:val="double" w:sz="6" w:space="2" w:color="000000"/>
                  </w:divBdr>
                </w:div>
              </w:divsChild>
            </w:div>
            <w:div w:id="20594822">
              <w:marLeft w:val="0"/>
              <w:marRight w:val="0"/>
              <w:marTop w:val="75"/>
              <w:marBottom w:val="0"/>
              <w:divBdr>
                <w:top w:val="dotted" w:sz="6" w:space="8" w:color="C3C3C3"/>
                <w:left w:val="dotted" w:sz="6" w:space="8" w:color="C3C3C3"/>
                <w:bottom w:val="dotted" w:sz="6" w:space="8" w:color="C3C3C3"/>
                <w:right w:val="dotted" w:sz="6" w:space="8" w:color="C3C3C3"/>
              </w:divBdr>
            </w:div>
            <w:div w:id="1741443819">
              <w:marLeft w:val="0"/>
              <w:marRight w:val="0"/>
              <w:marTop w:val="75"/>
              <w:marBottom w:val="0"/>
              <w:divBdr>
                <w:top w:val="dotted" w:sz="6" w:space="8" w:color="C3C3C3"/>
                <w:left w:val="dotted" w:sz="6" w:space="8" w:color="C3C3C3"/>
                <w:bottom w:val="dotted" w:sz="6" w:space="8" w:color="C3C3C3"/>
                <w:right w:val="dotted" w:sz="6" w:space="8" w:color="C3C3C3"/>
              </w:divBdr>
            </w:div>
            <w:div w:id="564068904">
              <w:marLeft w:val="0"/>
              <w:marRight w:val="0"/>
              <w:marTop w:val="75"/>
              <w:marBottom w:val="0"/>
              <w:divBdr>
                <w:top w:val="dotted" w:sz="6" w:space="8" w:color="C3C3C3"/>
                <w:left w:val="dotted" w:sz="6" w:space="8" w:color="C3C3C3"/>
                <w:bottom w:val="dotted" w:sz="6" w:space="8" w:color="C3C3C3"/>
                <w:right w:val="dotted" w:sz="6" w:space="8" w:color="C3C3C3"/>
              </w:divBdr>
            </w:div>
            <w:div w:id="795951210">
              <w:marLeft w:val="0"/>
              <w:marRight w:val="0"/>
              <w:marTop w:val="75"/>
              <w:marBottom w:val="0"/>
              <w:divBdr>
                <w:top w:val="dotted" w:sz="6" w:space="8" w:color="C3C3C3"/>
                <w:left w:val="dotted" w:sz="6" w:space="8" w:color="C3C3C3"/>
                <w:bottom w:val="dotted" w:sz="6" w:space="8" w:color="C3C3C3"/>
                <w:right w:val="dotted" w:sz="6" w:space="8" w:color="C3C3C3"/>
              </w:divBdr>
            </w:div>
            <w:div w:id="1708485293">
              <w:marLeft w:val="750"/>
              <w:marRight w:val="300"/>
              <w:marTop w:val="150"/>
              <w:marBottom w:val="150"/>
              <w:divBdr>
                <w:top w:val="dotted" w:sz="6" w:space="2" w:color="C3C3C3"/>
                <w:left w:val="none" w:sz="0" w:space="0" w:color="auto"/>
                <w:bottom w:val="dotted" w:sz="6" w:space="8" w:color="C3C3C3"/>
                <w:right w:val="none" w:sz="0" w:space="0" w:color="auto"/>
              </w:divBdr>
            </w:div>
          </w:divsChild>
        </w:div>
        <w:div w:id="1518039061">
          <w:marLeft w:val="60"/>
          <w:marRight w:val="60"/>
          <w:marTop w:val="0"/>
          <w:marBottom w:val="150"/>
          <w:divBdr>
            <w:top w:val="none" w:sz="0" w:space="0" w:color="auto"/>
            <w:left w:val="none" w:sz="0" w:space="0" w:color="auto"/>
            <w:bottom w:val="none" w:sz="0" w:space="0" w:color="auto"/>
            <w:right w:val="none" w:sz="0" w:space="0" w:color="auto"/>
          </w:divBdr>
        </w:div>
        <w:div w:id="1871607760">
          <w:marLeft w:val="60"/>
          <w:marRight w:val="60"/>
          <w:marTop w:val="0"/>
          <w:marBottom w:val="0"/>
          <w:divBdr>
            <w:top w:val="none" w:sz="0" w:space="0" w:color="auto"/>
            <w:left w:val="none" w:sz="0" w:space="0" w:color="auto"/>
            <w:bottom w:val="none" w:sz="0" w:space="0" w:color="auto"/>
            <w:right w:val="none" w:sz="0" w:space="0" w:color="auto"/>
          </w:divBdr>
        </w:div>
        <w:div w:id="9377134">
          <w:marLeft w:val="60"/>
          <w:marRight w:val="60"/>
          <w:marTop w:val="0"/>
          <w:marBottom w:val="0"/>
          <w:divBdr>
            <w:top w:val="none" w:sz="0" w:space="0" w:color="auto"/>
            <w:left w:val="none" w:sz="0" w:space="0" w:color="auto"/>
            <w:bottom w:val="none" w:sz="0" w:space="0" w:color="auto"/>
            <w:right w:val="none" w:sz="0" w:space="0" w:color="auto"/>
          </w:divBdr>
        </w:div>
        <w:div w:id="503858141">
          <w:marLeft w:val="60"/>
          <w:marRight w:val="60"/>
          <w:marTop w:val="0"/>
          <w:marBottom w:val="150"/>
          <w:divBdr>
            <w:top w:val="none" w:sz="0" w:space="0" w:color="auto"/>
            <w:left w:val="none" w:sz="0" w:space="0" w:color="auto"/>
            <w:bottom w:val="none" w:sz="0" w:space="0" w:color="auto"/>
            <w:right w:val="none" w:sz="0" w:space="0" w:color="auto"/>
          </w:divBdr>
        </w:div>
        <w:div w:id="217473243">
          <w:marLeft w:val="60"/>
          <w:marRight w:val="60"/>
          <w:marTop w:val="0"/>
          <w:marBottom w:val="150"/>
          <w:divBdr>
            <w:top w:val="none" w:sz="0" w:space="0" w:color="auto"/>
            <w:left w:val="none" w:sz="0" w:space="0" w:color="auto"/>
            <w:bottom w:val="none" w:sz="0" w:space="0" w:color="auto"/>
            <w:right w:val="none" w:sz="0" w:space="0" w:color="auto"/>
          </w:divBdr>
        </w:div>
        <w:div w:id="1607418401">
          <w:marLeft w:val="60"/>
          <w:marRight w:val="60"/>
          <w:marTop w:val="75"/>
          <w:marBottom w:val="75"/>
          <w:divBdr>
            <w:top w:val="none" w:sz="0" w:space="0" w:color="auto"/>
            <w:left w:val="none" w:sz="0" w:space="0" w:color="auto"/>
            <w:bottom w:val="none" w:sz="0" w:space="0" w:color="auto"/>
            <w:right w:val="none" w:sz="0" w:space="0" w:color="auto"/>
          </w:divBdr>
        </w:div>
      </w:divsChild>
    </w:div>
    <w:div w:id="698048902">
      <w:bodyDiv w:val="1"/>
      <w:marLeft w:val="0"/>
      <w:marRight w:val="0"/>
      <w:marTop w:val="0"/>
      <w:marBottom w:val="0"/>
      <w:divBdr>
        <w:top w:val="none" w:sz="0" w:space="0" w:color="auto"/>
        <w:left w:val="none" w:sz="0" w:space="0" w:color="auto"/>
        <w:bottom w:val="none" w:sz="0" w:space="0" w:color="auto"/>
        <w:right w:val="none" w:sz="0" w:space="0" w:color="auto"/>
      </w:divBdr>
    </w:div>
    <w:div w:id="1157916251">
      <w:bodyDiv w:val="1"/>
      <w:marLeft w:val="0"/>
      <w:marRight w:val="0"/>
      <w:marTop w:val="0"/>
      <w:marBottom w:val="0"/>
      <w:divBdr>
        <w:top w:val="none" w:sz="0" w:space="0" w:color="auto"/>
        <w:left w:val="none" w:sz="0" w:space="0" w:color="auto"/>
        <w:bottom w:val="none" w:sz="0" w:space="0" w:color="auto"/>
        <w:right w:val="none" w:sz="0" w:space="0" w:color="auto"/>
      </w:divBdr>
    </w:div>
    <w:div w:id="13808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5373</Words>
  <Characters>30628</Characters>
  <Application>Microsoft Office Word</Application>
  <DocSecurity>0</DocSecurity>
  <Lines>255</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Jandre Đukić</dc:creator>
  <cp:keywords/>
  <dc:description/>
  <cp:lastModifiedBy>Jandre Đukić</cp:lastModifiedBy>
  <cp:revision>4</cp:revision>
  <dcterms:created xsi:type="dcterms:W3CDTF">2020-02-10T11:22:00Z</dcterms:created>
  <dcterms:modified xsi:type="dcterms:W3CDTF">2020-02-10T12:58:00Z</dcterms:modified>
</cp:coreProperties>
</file>